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72D5" w:rsidP="003A72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UETTDRCJ27 Install and maintain de-energised high voltage underground polymeric cables</w:t>
      </w:r>
      <w:r>
        <w:fldChar w:fldCharType="end"/>
      </w:r>
    </w:p>
    <w:p w:rsidR="003A72D5" w:rsidP="003A72D5">
      <w:pPr>
        <w:pStyle w:val="Version"/>
        <w:sectPr w:rsidSect="001F29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297F" w:rsidP="001F297F">
      <w:pPr>
        <w:pStyle w:val="SuperHeading"/>
      </w:pPr>
      <w:r w:rsidRPr="001F297F">
        <w:t>Assessment Requirements for UETTDRCJ27 Install and maintain de-energised high voltage underground polymeric cables</w:t>
      </w:r>
    </w:p>
    <w:p w:rsidR="00000000" w:rsidRPr="001F297F" w:rsidP="001F297F">
      <w:pPr>
        <w:pStyle w:val="Heading1"/>
      </w:pPr>
      <w:bookmarkStart w:id="1" w:name="O_1002044"/>
      <w:bookmarkEnd w:id="1"/>
      <w:r w:rsidRPr="001F297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29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97F" w:rsidP="001F297F">
            <w:pPr>
              <w:pStyle w:val="BodyText"/>
            </w:pPr>
            <w:r w:rsidRPr="001F297F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1F297F" w:rsidP="001F297F">
      <w:pPr>
        <w:pStyle w:val="NoPaddingFontSize1"/>
      </w:pPr>
    </w:p>
    <w:p w:rsidR="00000000" w:rsidRPr="001F297F" w:rsidP="001F297F">
      <w:pPr>
        <w:pStyle w:val="AllowPageBreak"/>
      </w:pPr>
    </w:p>
    <w:p w:rsidR="00000000" w:rsidRPr="001F297F" w:rsidP="001F297F">
      <w:pPr>
        <w:pStyle w:val="Heading1"/>
      </w:pPr>
      <w:bookmarkStart w:id="2" w:name="O_1002045"/>
      <w:bookmarkEnd w:id="2"/>
      <w:r w:rsidRPr="001F297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29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97F">
            <w:pPr>
              <w:pStyle w:val="BodyText"/>
              <w:rPr>
                <w:lang w:val="en-NZ"/>
              </w:rPr>
            </w:pPr>
            <w:r w:rsidRPr="001F297F">
              <w:t>Evidence required to demonstrate competence in this unit must be relevant to a</w:t>
            </w:r>
            <w:r w:rsidRPr="001F297F">
              <w:t xml:space="preserve">nd satisfy all of the requirements of the elements and performance criteria on at least two separate occasions and include:  </w:t>
            </w:r>
          </w:p>
        </w:tc>
      </w:tr>
      <w:tr w:rsidTr="001F29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97F" w:rsidP="001F297F">
            <w:pPr>
              <w:pStyle w:val="ListBullet"/>
            </w:pPr>
            <w:r w:rsidRPr="001F297F">
              <w:t>applying relevant work health and safety (WHS)/occupational health and safety (OHS) requirements, including the use of risk cont</w:t>
            </w:r>
            <w:r w:rsidRPr="001F297F">
              <w:t xml:space="preserve">rol measures </w:t>
            </w:r>
          </w:p>
          <w:p w:rsidR="00000000" w:rsidRPr="001F297F" w:rsidP="001F297F">
            <w:pPr>
              <w:pStyle w:val="ListBullet"/>
            </w:pPr>
            <w:r w:rsidRPr="001F297F">
              <w:t>applying sustainable energy principles and practices</w:t>
            </w:r>
          </w:p>
          <w:p w:rsidR="00000000" w:rsidRPr="001F297F" w:rsidP="001F297F">
            <w:pPr>
              <w:pStyle w:val="ListBullet"/>
            </w:pPr>
            <w:r w:rsidRPr="001F297F">
              <w:t>installing and maintaining the following:</w:t>
            </w:r>
          </w:p>
          <w:p w:rsidR="00000000" w:rsidRPr="001F297F" w:rsidP="001F297F">
            <w:pPr>
              <w:pStyle w:val="ListBullet2"/>
            </w:pPr>
            <w:r w:rsidRPr="001F297F">
              <w:t>high voltage (HV) polymeric cables</w:t>
            </w:r>
          </w:p>
          <w:p w:rsidR="00000000" w:rsidRPr="001F297F" w:rsidP="001F297F">
            <w:pPr>
              <w:pStyle w:val="ListBullet"/>
            </w:pPr>
            <w:r w:rsidRPr="001F297F">
              <w:t>performing at least two (2) of the following cable joints:</w:t>
            </w:r>
          </w:p>
          <w:p w:rsidR="00000000" w:rsidRPr="001F297F" w:rsidP="001F297F">
            <w:pPr>
              <w:pStyle w:val="ListBullet2"/>
            </w:pPr>
            <w:r w:rsidRPr="001F297F">
              <w:t>tee-off joints</w:t>
            </w:r>
          </w:p>
          <w:p w:rsidR="00000000" w:rsidRPr="001F297F" w:rsidP="001F297F">
            <w:pPr>
              <w:pStyle w:val="ListBullet2"/>
            </w:pPr>
            <w:r w:rsidRPr="001F297F">
              <w:t>straight through joint</w:t>
            </w:r>
          </w:p>
          <w:p w:rsidR="00000000" w:rsidRPr="001F297F" w:rsidP="001F297F">
            <w:pPr>
              <w:pStyle w:val="ListBullet2"/>
            </w:pPr>
            <w:r w:rsidRPr="001F297F">
              <w:t>parallel branch joint</w:t>
            </w:r>
          </w:p>
          <w:p w:rsidR="00000000" w:rsidRPr="001F297F" w:rsidP="001F297F">
            <w:pPr>
              <w:pStyle w:val="ListBullet2"/>
            </w:pPr>
            <w:r w:rsidRPr="001F297F">
              <w:t>parallel joint</w:t>
            </w:r>
          </w:p>
          <w:p w:rsidR="00000000" w:rsidRPr="001F297F" w:rsidP="001F297F">
            <w:pPr>
              <w:pStyle w:val="ListBullet"/>
            </w:pPr>
            <w:r w:rsidRPr="001F297F">
              <w:t>completing cable terminations on distribution network equipment on at least one (1) of the following:</w:t>
            </w:r>
          </w:p>
          <w:p w:rsidR="00000000" w:rsidRPr="001F297F" w:rsidP="001F297F">
            <w:pPr>
              <w:pStyle w:val="ListBullet2"/>
            </w:pPr>
            <w:r w:rsidRPr="001F297F">
              <w:t>transformers</w:t>
            </w:r>
          </w:p>
          <w:p w:rsidR="00000000" w:rsidRPr="001F297F" w:rsidP="001F297F">
            <w:pPr>
              <w:pStyle w:val="ListBullet2"/>
            </w:pPr>
            <w:r w:rsidRPr="001F297F">
              <w:t>ring main units</w:t>
            </w:r>
          </w:p>
          <w:p w:rsidR="00000000" w:rsidRPr="001F297F" w:rsidP="001F297F">
            <w:pPr>
              <w:pStyle w:val="ListBullet2"/>
            </w:pPr>
            <w:r w:rsidRPr="001F297F">
              <w:t>chamber substations</w:t>
            </w:r>
          </w:p>
          <w:p w:rsidR="00000000" w:rsidRPr="001F297F" w:rsidP="001F297F">
            <w:pPr>
              <w:pStyle w:val="ListBullet"/>
            </w:pPr>
            <w:r w:rsidRPr="001F297F">
              <w:t>using at least one (1) of the following terminating substation eq</w:t>
            </w:r>
            <w:r w:rsidRPr="001F297F">
              <w:t>uipment:</w:t>
            </w:r>
          </w:p>
          <w:p w:rsidR="00000000" w:rsidRPr="001F297F" w:rsidP="001F297F">
            <w:pPr>
              <w:pStyle w:val="ListBullet2"/>
            </w:pPr>
            <w:r w:rsidRPr="001F297F">
              <w:t>busbar/termination boxes</w:t>
            </w:r>
          </w:p>
          <w:p w:rsidR="00000000" w:rsidRPr="001F297F" w:rsidP="001F297F">
            <w:pPr>
              <w:pStyle w:val="ListBullet2"/>
            </w:pPr>
            <w:r w:rsidRPr="001F297F">
              <w:t>links/fuses</w:t>
            </w:r>
          </w:p>
          <w:p w:rsidR="00000000" w:rsidRPr="001F297F" w:rsidP="001F297F">
            <w:pPr>
              <w:pStyle w:val="ListBullet2"/>
            </w:pPr>
            <w:r w:rsidRPr="001F297F">
              <w:t>termination boxes</w:t>
            </w:r>
          </w:p>
          <w:p w:rsidR="00000000" w:rsidRPr="001F297F" w:rsidP="001F297F">
            <w:pPr>
              <w:pStyle w:val="ListBullet2"/>
            </w:pPr>
            <w:r w:rsidRPr="001F297F">
              <w:t>control gear</w:t>
            </w:r>
          </w:p>
          <w:p w:rsidR="00000000" w:rsidRPr="001F297F" w:rsidP="001F297F">
            <w:pPr>
              <w:pStyle w:val="ListBullet2"/>
            </w:pPr>
            <w:r w:rsidRPr="001F297F">
              <w:t>circuit breakers</w:t>
            </w:r>
          </w:p>
          <w:p w:rsidR="00000000" w:rsidRPr="001F297F" w:rsidP="001F297F">
            <w:pPr>
              <w:pStyle w:val="ListBullet"/>
            </w:pPr>
            <w:r w:rsidRPr="001F297F">
              <w:t>using at least two (2) of the following:</w:t>
            </w:r>
          </w:p>
          <w:p w:rsidR="00000000" w:rsidRPr="001F297F" w:rsidP="001F297F">
            <w:pPr>
              <w:pStyle w:val="ListBullet2"/>
            </w:pPr>
            <w:r w:rsidRPr="001F297F">
              <w:t>resin filled boxes</w:t>
            </w:r>
          </w:p>
          <w:p w:rsidR="00000000" w:rsidRPr="001F297F" w:rsidP="001F297F">
            <w:pPr>
              <w:pStyle w:val="ListBullet2"/>
            </w:pPr>
            <w:r w:rsidRPr="001F297F">
              <w:t>compound filled boxes</w:t>
            </w:r>
          </w:p>
          <w:p w:rsidR="00000000" w:rsidRPr="001F297F" w:rsidP="001F297F">
            <w:pPr>
              <w:pStyle w:val="ListBullet2"/>
            </w:pPr>
            <w:r w:rsidRPr="001F297F">
              <w:t>polymeric tape</w:t>
            </w:r>
          </w:p>
          <w:p w:rsidR="00000000" w:rsidRPr="001F297F" w:rsidP="001F297F">
            <w:pPr>
              <w:pStyle w:val="ListBullet2"/>
            </w:pPr>
            <w:r w:rsidRPr="001F297F">
              <w:t>heat shrink</w:t>
            </w:r>
          </w:p>
          <w:p w:rsidR="00000000" w:rsidRPr="001F297F" w:rsidP="001F297F">
            <w:pPr>
              <w:pStyle w:val="ListBullet2"/>
            </w:pPr>
            <w:r w:rsidRPr="001F297F">
              <w:t>‘slip-on’ moulds</w:t>
            </w:r>
          </w:p>
          <w:p w:rsidR="00000000" w:rsidRPr="001F297F" w:rsidP="001F297F">
            <w:pPr>
              <w:pStyle w:val="ListBullet2"/>
            </w:pPr>
            <w:r w:rsidRPr="001F297F">
              <w:t>pre-stretched polymeric</w:t>
            </w:r>
          </w:p>
          <w:p w:rsidR="00000000" w:rsidRPr="001F297F" w:rsidP="001F297F">
            <w:pPr>
              <w:pStyle w:val="ListBullet"/>
            </w:pPr>
            <w:r w:rsidRPr="001F297F">
              <w:t>using all of the following:</w:t>
            </w:r>
          </w:p>
          <w:p w:rsidR="00000000" w:rsidRPr="001F297F" w:rsidP="001F297F">
            <w:pPr>
              <w:pStyle w:val="ListBullet2"/>
            </w:pPr>
            <w:r w:rsidRPr="001F297F">
              <w:t>insulation resistance testers</w:t>
            </w:r>
          </w:p>
          <w:p w:rsidR="00000000" w:rsidRPr="001F297F" w:rsidP="001F297F">
            <w:pPr>
              <w:pStyle w:val="ListBullet2"/>
            </w:pPr>
            <w:r w:rsidRPr="001F297F">
              <w:t>voltage detectors</w:t>
            </w:r>
          </w:p>
          <w:p w:rsidR="00000000" w:rsidRPr="001F297F" w:rsidP="001F297F">
            <w:pPr>
              <w:pStyle w:val="ListBullet"/>
            </w:pPr>
            <w:r w:rsidRPr="001F297F">
              <w:t>using all of the following:</w:t>
            </w:r>
          </w:p>
          <w:p w:rsidR="00000000" w:rsidRPr="001F297F" w:rsidP="001F297F">
            <w:pPr>
              <w:pStyle w:val="ListBullet2"/>
            </w:pPr>
            <w:r w:rsidRPr="001F297F">
              <w:t>cable identification devices</w:t>
            </w:r>
          </w:p>
          <w:p w:rsidR="00000000" w:rsidRPr="001F297F" w:rsidP="001F297F">
            <w:pPr>
              <w:pStyle w:val="ListBullet2"/>
            </w:pPr>
            <w:r w:rsidRPr="001F297F">
              <w:t>cable spiking devices</w:t>
            </w:r>
          </w:p>
          <w:p w:rsidR="00000000" w:rsidRPr="001F297F" w:rsidP="001F297F">
            <w:pPr>
              <w:pStyle w:val="ListBullet"/>
            </w:pPr>
            <w:r w:rsidRPr="001F297F">
              <w:t>using at least two (2) of the following:</w:t>
            </w:r>
          </w:p>
          <w:p w:rsidR="00000000" w:rsidRPr="001F297F" w:rsidP="001F297F">
            <w:pPr>
              <w:pStyle w:val="ListBullet2"/>
            </w:pPr>
            <w:r w:rsidRPr="001F297F">
              <w:t>mechanical connectors</w:t>
            </w:r>
          </w:p>
          <w:p w:rsidR="00000000" w:rsidRPr="001F297F" w:rsidP="001F297F">
            <w:pPr>
              <w:pStyle w:val="ListBullet2"/>
            </w:pPr>
            <w:r w:rsidRPr="001F297F">
              <w:t>compression connectors</w:t>
            </w:r>
          </w:p>
          <w:p w:rsidR="00000000" w:rsidRPr="001F297F" w:rsidP="001F297F">
            <w:pPr>
              <w:pStyle w:val="ListBullet2"/>
            </w:pPr>
            <w:r w:rsidRPr="001F297F">
              <w:t>lugs</w:t>
            </w:r>
          </w:p>
          <w:p w:rsidR="00000000" w:rsidRPr="001F297F" w:rsidP="001F297F">
            <w:pPr>
              <w:pStyle w:val="ListBullet"/>
            </w:pPr>
            <w:r w:rsidRPr="001F297F">
              <w:t>dealing with unplanned events on at least one (1) occasion.</w:t>
            </w:r>
          </w:p>
        </w:tc>
      </w:tr>
    </w:tbl>
    <w:p w:rsidR="00000000" w:rsidRPr="001F297F" w:rsidP="001F297F">
      <w:pPr>
        <w:pStyle w:val="NoPaddingFontSize1"/>
      </w:pPr>
    </w:p>
    <w:p w:rsidR="00000000" w:rsidRPr="001F297F" w:rsidP="001F297F">
      <w:pPr>
        <w:pStyle w:val="AllowPageBreak"/>
      </w:pPr>
    </w:p>
    <w:p w:rsidR="00000000" w:rsidRPr="001F297F" w:rsidP="001F297F">
      <w:pPr>
        <w:pStyle w:val="Heading1"/>
      </w:pPr>
      <w:bookmarkStart w:id="3" w:name="O_1002046"/>
      <w:bookmarkEnd w:id="3"/>
      <w:r w:rsidRPr="001F297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29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97F">
            <w:pPr>
              <w:pStyle w:val="BodyText"/>
              <w:rPr>
                <w:lang w:val="en-NZ"/>
              </w:rPr>
            </w:pPr>
            <w:r w:rsidRPr="001F297F">
              <w:t xml:space="preserve">Evidence required to demonstrate competence in this unit must be relevant to and satisfy all of the requirements of the elements and performance </w:t>
            </w:r>
            <w:r w:rsidRPr="001F297F">
              <w:t>criteria and include knowledge of:</w:t>
            </w:r>
          </w:p>
        </w:tc>
      </w:tr>
      <w:tr w:rsidTr="001F29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97F" w:rsidP="001F297F">
            <w:pPr>
              <w:pStyle w:val="ListBullet"/>
            </w:pPr>
            <w:r w:rsidRPr="001F297F">
              <w:t>standards, codes, legislation, supply authority regulations and/or enterprise requirements pertaining to the jointing of HV underground polymeric cables</w:t>
            </w:r>
          </w:p>
          <w:p w:rsidR="00000000" w:rsidRPr="001F297F" w:rsidP="001F297F">
            <w:pPr>
              <w:pStyle w:val="ListBullet"/>
            </w:pPr>
            <w:r w:rsidRPr="001F297F">
              <w:t>requirements for the use of enterprise construction manuals, syste</w:t>
            </w:r>
            <w:r w:rsidRPr="001F297F">
              <w:t>m diagrams/plans and drawings encompassing:</w:t>
            </w:r>
          </w:p>
          <w:p w:rsidR="00000000" w:rsidRPr="001F297F" w:rsidP="001F297F">
            <w:pPr>
              <w:pStyle w:val="ListBullet2"/>
            </w:pPr>
            <w:r w:rsidRPr="001F297F">
              <w:t>characteristics of different types of cables and components</w:t>
            </w:r>
          </w:p>
          <w:p w:rsidR="00000000" w:rsidRPr="001F297F" w:rsidP="001F297F">
            <w:pPr>
              <w:pStyle w:val="ListBullet2"/>
            </w:pPr>
            <w:r w:rsidRPr="001F297F">
              <w:t>purpose of stress control</w:t>
            </w:r>
          </w:p>
          <w:p w:rsidR="00000000" w:rsidRPr="001F297F" w:rsidP="001F297F">
            <w:pPr>
              <w:pStyle w:val="ListBullet"/>
            </w:pPr>
            <w:r w:rsidRPr="001F297F">
              <w:t>applications of various tools and equipment for HV jointing</w:t>
            </w:r>
          </w:p>
          <w:p w:rsidR="00000000" w:rsidRPr="001F297F" w:rsidP="001F297F">
            <w:pPr>
              <w:pStyle w:val="ListBullet"/>
            </w:pPr>
            <w:r w:rsidRPr="001F297F">
              <w:t>procedures for isolating HV underground cables encompassing:</w:t>
            </w:r>
          </w:p>
          <w:p w:rsidR="00000000" w:rsidRPr="001F297F" w:rsidP="001F297F">
            <w:pPr>
              <w:pStyle w:val="ListBullet2"/>
            </w:pPr>
            <w:r w:rsidRPr="001F297F">
              <w:t>method for proving safe to work</w:t>
            </w:r>
          </w:p>
          <w:p w:rsidR="00000000" w:rsidRPr="001F297F" w:rsidP="001F297F">
            <w:pPr>
              <w:pStyle w:val="ListBullet"/>
            </w:pPr>
            <w:r w:rsidRPr="001F297F">
              <w:t>earthing procedures</w:t>
            </w:r>
          </w:p>
          <w:p w:rsidR="00000000" w:rsidRPr="001F297F" w:rsidP="001F297F">
            <w:pPr>
              <w:pStyle w:val="ListBullet"/>
            </w:pPr>
            <w:r w:rsidRPr="001F297F">
              <w:t>techniques in jointing HV underground polymeric cable, encompassing:</w:t>
            </w:r>
          </w:p>
          <w:p w:rsidR="00000000" w:rsidRPr="001F297F" w:rsidP="001F297F">
            <w:pPr>
              <w:pStyle w:val="ListBullet2"/>
            </w:pPr>
            <w:r w:rsidRPr="001F297F">
              <w:t>short circuit cores and seal cable</w:t>
            </w:r>
          </w:p>
          <w:p w:rsidR="00000000" w:rsidRPr="001F297F" w:rsidP="001F297F">
            <w:pPr>
              <w:pStyle w:val="ListBullet2"/>
            </w:pPr>
            <w:r w:rsidRPr="001F297F">
              <w:t>straight through</w:t>
            </w:r>
          </w:p>
          <w:p w:rsidR="00000000" w:rsidRPr="001F297F" w:rsidP="001F297F">
            <w:pPr>
              <w:pStyle w:val="ListBullet2"/>
            </w:pPr>
            <w:r w:rsidRPr="001F297F">
              <w:t>trifurcating</w:t>
            </w:r>
          </w:p>
          <w:p w:rsidR="00000000" w:rsidRPr="001F297F" w:rsidP="001F297F">
            <w:pPr>
              <w:pStyle w:val="ListBullet"/>
            </w:pPr>
            <w:r w:rsidRPr="001F297F">
              <w:t>techniques in HV terminations encompassing:</w:t>
            </w:r>
          </w:p>
          <w:p w:rsidR="00000000" w:rsidRPr="001F297F" w:rsidP="001F297F">
            <w:pPr>
              <w:pStyle w:val="ListBullet2"/>
            </w:pPr>
            <w:r w:rsidRPr="001F297F">
              <w:t>pole top termination</w:t>
            </w:r>
          </w:p>
          <w:p w:rsidR="00000000" w:rsidRPr="001F297F" w:rsidP="001F297F">
            <w:pPr>
              <w:pStyle w:val="ListBullet2"/>
            </w:pPr>
            <w:r w:rsidRPr="001F297F">
              <w:t>s</w:t>
            </w:r>
            <w:r w:rsidRPr="001F297F">
              <w:t>ubstation/switchgear termination</w:t>
            </w:r>
          </w:p>
          <w:p w:rsidR="00000000" w:rsidRPr="001F297F" w:rsidP="001F297F">
            <w:pPr>
              <w:pStyle w:val="ListBullet2"/>
            </w:pPr>
            <w:r w:rsidRPr="001F297F">
              <w:t>ABC termination</w:t>
            </w:r>
          </w:p>
          <w:p w:rsidR="00000000" w:rsidRPr="001F297F" w:rsidP="001F297F">
            <w:pPr>
              <w:pStyle w:val="ListBullet2"/>
            </w:pPr>
            <w:r w:rsidRPr="001F297F">
              <w:t>telcon termination</w:t>
            </w:r>
          </w:p>
          <w:p w:rsidR="00000000" w:rsidRPr="001F297F" w:rsidP="001F297F">
            <w:pPr>
              <w:pStyle w:val="ListBullet"/>
            </w:pPr>
            <w:r w:rsidRPr="001F297F">
              <w:t>procedures for repairing HV underground cables encompassing:</w:t>
            </w:r>
          </w:p>
          <w:p w:rsidR="00000000" w:rsidRPr="001F297F" w:rsidP="001F297F">
            <w:pPr>
              <w:pStyle w:val="ListBullet2"/>
            </w:pPr>
            <w:r w:rsidRPr="001F297F">
              <w:t>location of faults</w:t>
            </w:r>
          </w:p>
          <w:p w:rsidR="00000000" w:rsidRPr="001F297F" w:rsidP="001F297F">
            <w:pPr>
              <w:pStyle w:val="ListBullet2"/>
            </w:pPr>
            <w:r w:rsidRPr="001F297F">
              <w:t>types of damage</w:t>
            </w:r>
          </w:p>
          <w:p w:rsidR="00000000" w:rsidRPr="001F297F" w:rsidP="001F297F">
            <w:pPr>
              <w:pStyle w:val="ListBullet2"/>
            </w:pPr>
            <w:r w:rsidRPr="001F297F">
              <w:t>techniques to repairs to sheath</w:t>
            </w:r>
          </w:p>
          <w:p w:rsidR="00000000" w:rsidRPr="001F297F" w:rsidP="001F297F">
            <w:pPr>
              <w:pStyle w:val="ListBullet2"/>
            </w:pPr>
            <w:r w:rsidRPr="001F297F">
              <w:t>techniques to repairs to core.</w:t>
            </w:r>
          </w:p>
        </w:tc>
      </w:tr>
    </w:tbl>
    <w:p w:rsidR="00000000" w:rsidRPr="001F297F" w:rsidP="001F297F">
      <w:pPr>
        <w:pStyle w:val="NoPaddingFontSize1"/>
      </w:pPr>
    </w:p>
    <w:p w:rsidR="00000000" w:rsidRPr="001F297F" w:rsidP="001F297F">
      <w:pPr>
        <w:pStyle w:val="AllowPageBreak"/>
      </w:pPr>
    </w:p>
    <w:p w:rsidR="00000000" w:rsidRPr="001F297F" w:rsidP="001F297F">
      <w:pPr>
        <w:pStyle w:val="Heading1"/>
      </w:pPr>
      <w:bookmarkStart w:id="4" w:name="O_1002047"/>
      <w:bookmarkEnd w:id="4"/>
      <w:r w:rsidRPr="001F297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29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97F" w:rsidP="001F297F">
            <w:pPr>
              <w:pStyle w:val="BodyText"/>
            </w:pPr>
            <w:r w:rsidRPr="001F297F">
              <w:t>Assessors must hold credentials specified within the Standards for Registered Training Organisations current at the time of assessment.</w:t>
            </w:r>
          </w:p>
          <w:p w:rsidR="00000000" w:rsidRPr="001F297F" w:rsidP="001F297F">
            <w:pPr>
              <w:pStyle w:val="BodyText"/>
            </w:pPr>
            <w:r w:rsidRPr="001F297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F297F" w:rsidP="001F297F">
            <w:pPr>
              <w:pStyle w:val="BodyText"/>
            </w:pPr>
            <w:r w:rsidRPr="001F297F">
              <w:t>Assessment must occur in workplace operational</w:t>
            </w:r>
            <w:r w:rsidRPr="001F297F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1F297F" w:rsidP="001F297F">
            <w:pPr>
              <w:pStyle w:val="BodyText"/>
            </w:pPr>
            <w:r w:rsidRPr="001F297F">
              <w:t>Assessment processes and techniques mus</w:t>
            </w:r>
            <w:r w:rsidRPr="001F297F">
              <w:t>t be appropriate to the language, literacy and numeracy requirements of the work being performed and the needs of the candidate.</w:t>
            </w:r>
          </w:p>
          <w:p w:rsidR="00000000" w:rsidRPr="001F297F" w:rsidP="001F297F">
            <w:pPr>
              <w:pStyle w:val="BodyText"/>
            </w:pPr>
            <w:r w:rsidRPr="001F297F">
              <w:t>Resources for assessment must include access to:</w:t>
            </w:r>
          </w:p>
          <w:p w:rsidR="00000000" w:rsidRPr="001F297F" w:rsidP="001F297F">
            <w:pPr>
              <w:pStyle w:val="ListBullet"/>
            </w:pPr>
            <w:r w:rsidRPr="001F297F">
              <w:t>a range of relevant exercises, case studies and/or other simulations</w:t>
            </w:r>
          </w:p>
          <w:p w:rsidR="00000000" w:rsidRPr="001F297F" w:rsidP="001F297F">
            <w:pPr>
              <w:pStyle w:val="ListBullet"/>
            </w:pPr>
            <w:r w:rsidRPr="001F297F">
              <w:t>relevant</w:t>
            </w:r>
            <w:r w:rsidRPr="001F297F">
              <w:t xml:space="preserve"> and appropriate materials, tools, facilities, equipment and personal protective equipment (PPE) currently used in industry for installing and maintaining de-energised HV underground polymeric cables</w:t>
            </w:r>
          </w:p>
          <w:p w:rsidR="00000000" w:rsidRPr="001F297F" w:rsidP="001F297F">
            <w:pPr>
              <w:pStyle w:val="ListBullet"/>
            </w:pPr>
            <w:r w:rsidRPr="001F297F">
              <w:t>applicable documentation, including workplace procedures</w:t>
            </w:r>
            <w:r w:rsidRPr="001F297F">
              <w:t>, relevant industry standards, equipment specifications, regulations, codes of practice and operation manuals.</w:t>
            </w:r>
          </w:p>
        </w:tc>
      </w:tr>
    </w:tbl>
    <w:p w:rsidR="00000000" w:rsidRPr="001F297F" w:rsidP="001F297F">
      <w:pPr>
        <w:pStyle w:val="NoPaddingFontSize1"/>
      </w:pPr>
    </w:p>
    <w:p w:rsidR="00000000" w:rsidRPr="001F297F" w:rsidP="001F297F">
      <w:pPr>
        <w:pStyle w:val="AllowPageBreak"/>
      </w:pPr>
    </w:p>
    <w:p w:rsidR="00000000" w:rsidRPr="001F297F" w:rsidP="001F297F">
      <w:pPr>
        <w:pStyle w:val="Heading1"/>
      </w:pPr>
      <w:bookmarkStart w:id="5" w:name="O_1002050"/>
      <w:bookmarkEnd w:id="5"/>
      <w:r w:rsidRPr="001F297F">
        <w:t>Links</w:t>
      </w:r>
    </w:p>
    <w:p w:rsidR="00000000" w:rsidRPr="001F297F" w:rsidP="003A72D5">
      <w:pPr>
        <w:pStyle w:val="BodyText"/>
      </w:pPr>
      <w:r w:rsidRPr="001F297F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2493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F297F" w:rsidP="001F297F"/>
    <w:sectPr w:rsidSect="001F29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7F" w:rsidRPr="003A72D5" w:rsidP="003A72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2D5" w:rsidP="001F29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72D5" w:rsidP="001F29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A72D5" w:rsidP="001F29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2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297F" w:rsidRPr="003A72D5" w:rsidP="003A72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2D5" w:rsidRPr="002D2AF8" w:rsidP="001F29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UETTDRCJ27 Install and maintain de-energised high voltage underground polymeric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3A72D5" w:rsidP="001F29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8AFB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BAD3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72E3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9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29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29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29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29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29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29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29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29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29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29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297F"/>
  </w:style>
  <w:style w:type="character" w:customStyle="1" w:styleId="Heading1Char">
    <w:name w:val="Heading 1 Char"/>
    <w:basedOn w:val="DefaultParagraphFont"/>
    <w:link w:val="Heading1"/>
    <w:rsid w:val="001F29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29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29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297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29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29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29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F29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29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29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2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2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2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2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29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29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29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29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29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29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29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29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29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29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29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29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29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297F"/>
    <w:rPr>
      <w:b/>
      <w:spacing w:val="0"/>
    </w:rPr>
  </w:style>
  <w:style w:type="paragraph" w:customStyle="1" w:styleId="SuperTitle">
    <w:name w:val="SuperTitle"/>
    <w:basedOn w:val="Title"/>
    <w:rsid w:val="001F29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29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29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29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29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29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29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29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29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29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29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29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297F"/>
    <w:rPr>
      <w:i/>
    </w:rPr>
  </w:style>
  <w:style w:type="paragraph" w:styleId="Caption">
    <w:name w:val="caption"/>
    <w:basedOn w:val="BodyText"/>
    <w:next w:val="Normal"/>
    <w:qFormat/>
    <w:rsid w:val="001F29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29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29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297F"/>
  </w:style>
  <w:style w:type="paragraph" w:styleId="TableofFigures">
    <w:name w:val="table of figures"/>
    <w:basedOn w:val="Normal"/>
    <w:next w:val="Normal"/>
    <w:semiHidden/>
    <w:rsid w:val="001F29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29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297F"/>
    <w:rPr>
      <w:rFonts w:ascii="Wingdings" w:hAnsi="Wingdings"/>
    </w:rPr>
  </w:style>
  <w:style w:type="paragraph" w:customStyle="1" w:styleId="TableHeading">
    <w:name w:val="Table Heading"/>
    <w:basedOn w:val="HeadingBase"/>
    <w:rsid w:val="001F29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297F"/>
    <w:rPr>
      <w:color w:val="0033CC"/>
      <w:u w:val="none"/>
    </w:rPr>
  </w:style>
  <w:style w:type="paragraph" w:customStyle="1" w:styleId="BodyTextRight">
    <w:name w:val="Body Text Right"/>
    <w:basedOn w:val="BodyText"/>
    <w:rsid w:val="001F29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29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29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29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29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29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297F"/>
    <w:rPr>
      <w:sz w:val="32"/>
    </w:rPr>
  </w:style>
  <w:style w:type="paragraph" w:customStyle="1" w:styleId="HeadingProcedure">
    <w:name w:val="Heading Procedure"/>
    <w:basedOn w:val="HeadingBase"/>
    <w:next w:val="Normal"/>
    <w:rsid w:val="001F29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297F"/>
    <w:pPr>
      <w:spacing w:before="60" w:after="60"/>
    </w:pPr>
  </w:style>
  <w:style w:type="paragraph" w:styleId="ListContinue">
    <w:name w:val="List Continue"/>
    <w:basedOn w:val="List"/>
    <w:rsid w:val="001F297F"/>
    <w:pPr>
      <w:ind w:firstLine="0"/>
    </w:pPr>
  </w:style>
  <w:style w:type="paragraph" w:customStyle="1" w:styleId="ListNote">
    <w:name w:val="List Note"/>
    <w:basedOn w:val="List"/>
    <w:rsid w:val="001F29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29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29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297F"/>
    <w:rPr>
      <w:rFonts w:ascii="Courier New" w:hAnsi="Courier New"/>
    </w:rPr>
  </w:style>
  <w:style w:type="paragraph" w:customStyle="1" w:styleId="NoteBullet">
    <w:name w:val="Note Bullet"/>
    <w:basedOn w:val="Note"/>
    <w:rsid w:val="001F29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29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29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29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29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29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29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297F"/>
    <w:rPr>
      <w:b/>
      <w:smallCaps/>
    </w:rPr>
  </w:style>
  <w:style w:type="paragraph" w:customStyle="1" w:styleId="TableListNumber">
    <w:name w:val="Table List Number"/>
    <w:basedOn w:val="ListNumber"/>
    <w:rsid w:val="001F29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29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297F"/>
    <w:pPr>
      <w:numPr>
        <w:numId w:val="9"/>
      </w:numPr>
    </w:pPr>
  </w:style>
  <w:style w:type="paragraph" w:customStyle="1" w:styleId="ListAlpha2">
    <w:name w:val="List Alpha 2"/>
    <w:basedOn w:val="List2"/>
    <w:rsid w:val="001F297F"/>
    <w:pPr>
      <w:numPr>
        <w:numId w:val="8"/>
      </w:numPr>
    </w:pPr>
  </w:style>
  <w:style w:type="paragraph" w:styleId="List2">
    <w:name w:val="List 2"/>
    <w:basedOn w:val="BodyText"/>
    <w:rsid w:val="001F29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29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29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29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29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29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297F"/>
    <w:pPr>
      <w:numPr>
        <w:numId w:val="4"/>
      </w:numPr>
    </w:pPr>
  </w:style>
  <w:style w:type="paragraph" w:styleId="ListContinue2">
    <w:name w:val="List Continue 2"/>
    <w:basedOn w:val="List2"/>
    <w:rsid w:val="001F297F"/>
    <w:pPr>
      <w:ind w:firstLine="0"/>
    </w:pPr>
  </w:style>
  <w:style w:type="paragraph" w:styleId="ListContinue3">
    <w:name w:val="List Continue 3"/>
    <w:basedOn w:val="List3"/>
    <w:rsid w:val="001F297F"/>
    <w:pPr>
      <w:ind w:left="1021" w:firstLine="0"/>
    </w:pPr>
  </w:style>
  <w:style w:type="paragraph" w:styleId="ListContinue4">
    <w:name w:val="List Continue 4"/>
    <w:basedOn w:val="List4"/>
    <w:rsid w:val="001F297F"/>
    <w:pPr>
      <w:ind w:firstLine="0"/>
    </w:pPr>
  </w:style>
  <w:style w:type="paragraph" w:styleId="ListContinue5">
    <w:name w:val="List Continue 5"/>
    <w:basedOn w:val="List5"/>
    <w:rsid w:val="001F297F"/>
    <w:pPr>
      <w:ind w:firstLine="0"/>
    </w:pPr>
  </w:style>
  <w:style w:type="paragraph" w:styleId="ListNumber3">
    <w:name w:val="List Number 3"/>
    <w:basedOn w:val="List3"/>
    <w:rsid w:val="001F297F"/>
    <w:pPr>
      <w:numPr>
        <w:numId w:val="5"/>
      </w:numPr>
    </w:pPr>
  </w:style>
  <w:style w:type="paragraph" w:styleId="ListNumber4">
    <w:name w:val="List Number 4"/>
    <w:basedOn w:val="List4"/>
    <w:rsid w:val="001F297F"/>
    <w:pPr>
      <w:numPr>
        <w:numId w:val="6"/>
      </w:numPr>
    </w:pPr>
  </w:style>
  <w:style w:type="paragraph" w:styleId="ListNumber5">
    <w:name w:val="List Number 5"/>
    <w:basedOn w:val="List5"/>
    <w:rsid w:val="001F297F"/>
    <w:pPr>
      <w:numPr>
        <w:numId w:val="7"/>
      </w:numPr>
    </w:pPr>
  </w:style>
  <w:style w:type="paragraph" w:styleId="BlockText">
    <w:name w:val="Block Text"/>
    <w:basedOn w:val="Normal"/>
    <w:rsid w:val="001F29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29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297F"/>
    <w:rPr>
      <w:sz w:val="16"/>
      <w:vertAlign w:val="superscript"/>
    </w:rPr>
  </w:style>
  <w:style w:type="character" w:customStyle="1" w:styleId="Symbols">
    <w:name w:val="Symbols"/>
    <w:basedOn w:val="DefaultParagraphFont"/>
    <w:rsid w:val="001F297F"/>
    <w:rPr>
      <w:rFonts w:ascii="Symbol" w:hAnsi="Symbol"/>
    </w:rPr>
  </w:style>
  <w:style w:type="character" w:customStyle="1" w:styleId="MenuOptions">
    <w:name w:val="Menu Options"/>
    <w:basedOn w:val="DefaultParagraphFont"/>
    <w:rsid w:val="001F29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297F"/>
    <w:rPr>
      <w:b/>
    </w:rPr>
  </w:style>
  <w:style w:type="character" w:customStyle="1" w:styleId="Underlined">
    <w:name w:val="Underlined"/>
    <w:basedOn w:val="DefaultParagraphFont"/>
    <w:rsid w:val="001F297F"/>
    <w:rPr>
      <w:u w:val="single"/>
    </w:rPr>
  </w:style>
  <w:style w:type="paragraph" w:customStyle="1" w:styleId="TableBodyTextRight">
    <w:name w:val="Table Body Text Right"/>
    <w:basedOn w:val="TableBodyText"/>
    <w:rsid w:val="001F29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297F"/>
    <w:rPr>
      <w:sz w:val="18"/>
    </w:rPr>
  </w:style>
  <w:style w:type="paragraph" w:customStyle="1" w:styleId="BodySmallRight">
    <w:name w:val="Body Small Right"/>
    <w:basedOn w:val="BodyTextRight"/>
    <w:rsid w:val="001F297F"/>
    <w:rPr>
      <w:sz w:val="18"/>
      <w:szCs w:val="18"/>
    </w:rPr>
  </w:style>
  <w:style w:type="paragraph" w:customStyle="1" w:styleId="MarginEdition">
    <w:name w:val="Margin Edition"/>
    <w:basedOn w:val="MarginNote"/>
    <w:rsid w:val="001F29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297F"/>
    <w:rPr>
      <w:sz w:val="2"/>
      <w:szCs w:val="2"/>
    </w:rPr>
  </w:style>
  <w:style w:type="character" w:customStyle="1" w:styleId="Small">
    <w:name w:val="Small"/>
    <w:basedOn w:val="DefaultParagraphFont"/>
    <w:rsid w:val="001F297F"/>
    <w:rPr>
      <w:sz w:val="16"/>
    </w:rPr>
  </w:style>
  <w:style w:type="paragraph" w:customStyle="1" w:styleId="WideTable">
    <w:name w:val="Wide Table"/>
    <w:basedOn w:val="Normal"/>
    <w:rsid w:val="001F29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297F"/>
  </w:style>
  <w:style w:type="paragraph" w:styleId="Quote">
    <w:name w:val="Quote"/>
    <w:basedOn w:val="Heading1"/>
    <w:link w:val="QuoteChar"/>
    <w:qFormat/>
    <w:rsid w:val="001F29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29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297F"/>
    <w:pPr>
      <w:pageBreakBefore/>
    </w:pPr>
  </w:style>
  <w:style w:type="paragraph" w:customStyle="1" w:styleId="Border">
    <w:name w:val="Border"/>
    <w:basedOn w:val="Normal"/>
    <w:qFormat/>
    <w:rsid w:val="001F29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29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9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9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29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29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29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29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29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297F"/>
    <w:rPr>
      <w:u w:val="single"/>
    </w:rPr>
  </w:style>
  <w:style w:type="character" w:customStyle="1" w:styleId="BoldandItalics">
    <w:name w:val="Bold and Italics"/>
    <w:qFormat/>
    <w:rsid w:val="001F297F"/>
    <w:rPr>
      <w:b/>
      <w:i/>
      <w:u w:val="none"/>
    </w:rPr>
  </w:style>
  <w:style w:type="paragraph" w:styleId="BalloonText">
    <w:name w:val="Balloon Text"/>
    <w:basedOn w:val="Normal"/>
    <w:link w:val="BalloonTextChar"/>
    <w:rsid w:val="001F29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29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29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29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29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29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297F"/>
    <w:pPr>
      <w:spacing w:before="0" w:after="0"/>
    </w:pPr>
  </w:style>
  <w:style w:type="paragraph" w:customStyle="1" w:styleId="BodyTextBold">
    <w:name w:val="Body Text Bold"/>
    <w:basedOn w:val="BodyText"/>
    <w:qFormat/>
    <w:rsid w:val="001F297F"/>
    <w:rPr>
      <w:b/>
    </w:rPr>
  </w:style>
  <w:style w:type="character" w:styleId="Hyperlink">
    <w:name w:val="Hyperlink"/>
    <w:basedOn w:val="DefaultParagraphFont"/>
    <w:uiPriority w:val="99"/>
    <w:unhideWhenUsed/>
    <w:rsid w:val="003A72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3994</Characters>
  <Application>Microsoft Office Word</Application>
  <DocSecurity>0</DocSecurity>
  <Lines>114</Lines>
  <Paragraphs>91</Paragraphs>
  <ScaleCrop>false</ScaleCrop>
  <Company>Author-it Software Corporation Ltd.</Company>
  <LinksUpToDate>false</LinksUpToDate>
  <CharactersWithSpaces>4500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UETTDRCJ27 Install and maintain de-energised high voltage underground polymeric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2021-04-20T06:32:00Z</dcterms:created>
  <dcterms:modified xsi:type="dcterms:W3CDTF">2021-04-20T06:32:00Z</dcterms:modified>
</cp:coreProperties>
</file>