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3EC" w:rsidP="009F03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UETTDRCJ22 Install and maintain de-energised low voltage underground paper insulated cables</w:t>
      </w:r>
      <w:r>
        <w:fldChar w:fldCharType="end"/>
      </w:r>
    </w:p>
    <w:p w:rsidR="009F03EC" w:rsidP="009F03EC">
      <w:pPr>
        <w:pStyle w:val="Version"/>
        <w:sectPr w:rsidSect="004053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35C" w:rsidP="0040535C">
      <w:pPr>
        <w:pStyle w:val="SuperHeading"/>
      </w:pPr>
      <w:r w:rsidRPr="0040535C">
        <w:t>Assessment Requirements for UETTDRCJ22 Install and maintain de-energised low voltage underground paper insulated cables</w:t>
      </w:r>
    </w:p>
    <w:p w:rsidR="00000000" w:rsidRPr="0040535C" w:rsidP="0040535C">
      <w:pPr>
        <w:pStyle w:val="Heading1"/>
      </w:pPr>
      <w:bookmarkStart w:id="1" w:name="O_1001949"/>
      <w:bookmarkEnd w:id="1"/>
      <w:r w:rsidRPr="004053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3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35C" w:rsidP="0040535C">
            <w:pPr>
              <w:pStyle w:val="BodyText"/>
            </w:pPr>
            <w:r w:rsidRPr="0040535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40535C" w:rsidP="0040535C">
      <w:pPr>
        <w:pStyle w:val="NoPaddingFontSize1"/>
      </w:pPr>
    </w:p>
    <w:p w:rsidR="00000000" w:rsidRPr="0040535C" w:rsidP="0040535C">
      <w:pPr>
        <w:pStyle w:val="AllowPageBreak"/>
      </w:pPr>
    </w:p>
    <w:p w:rsidR="00000000" w:rsidRPr="0040535C" w:rsidP="0040535C">
      <w:pPr>
        <w:pStyle w:val="Heading1"/>
      </w:pPr>
      <w:bookmarkStart w:id="2" w:name="O_1001950"/>
      <w:bookmarkEnd w:id="2"/>
      <w:r w:rsidRPr="0040535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3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5C">
            <w:pPr>
              <w:pStyle w:val="BodyText"/>
              <w:rPr>
                <w:lang w:val="en-NZ"/>
              </w:rPr>
            </w:pPr>
            <w:r w:rsidRPr="0040535C">
              <w:t>Evidence required to demonstrate competence in this unit must be relevant to a</w:t>
            </w:r>
            <w:r w:rsidRPr="0040535C">
              <w:t xml:space="preserve">nd satisfy all of the requirements of the elements and performance criteria on at least two separate occasions and include:  </w:t>
            </w:r>
          </w:p>
        </w:tc>
      </w:tr>
      <w:tr w:rsidTr="004053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35C" w:rsidP="0040535C">
            <w:pPr>
              <w:pStyle w:val="ListBullet"/>
            </w:pPr>
            <w:r w:rsidRPr="0040535C">
              <w:t>applying relevant work health and safety (WHS)/occupational health and safety (OHS) requirements, including the use of risk cont</w:t>
            </w:r>
            <w:r w:rsidRPr="0040535C">
              <w:t xml:space="preserve">rol measures </w:t>
            </w:r>
          </w:p>
          <w:p w:rsidR="00000000" w:rsidRPr="0040535C" w:rsidP="0040535C">
            <w:pPr>
              <w:pStyle w:val="ListBullet"/>
            </w:pPr>
            <w:r w:rsidRPr="0040535C">
              <w:t>applying sustainable energy principles and practices</w:t>
            </w:r>
          </w:p>
          <w:p w:rsidR="00000000" w:rsidRPr="0040535C" w:rsidP="0040535C">
            <w:pPr>
              <w:pStyle w:val="ListBullet"/>
            </w:pPr>
            <w:r w:rsidRPr="0040535C">
              <w:t>installing at least one (1) of the following:</w:t>
            </w:r>
          </w:p>
          <w:p w:rsidR="00000000" w:rsidRPr="0040535C" w:rsidP="0040535C">
            <w:pPr>
              <w:pStyle w:val="ListBullet2"/>
            </w:pPr>
            <w:r w:rsidRPr="0040535C">
              <w:t>low voltage (LV) paper/lead sheathed</w:t>
            </w:r>
          </w:p>
          <w:p w:rsidR="00000000" w:rsidRPr="0040535C" w:rsidP="0040535C">
            <w:pPr>
              <w:pStyle w:val="ListBullet2"/>
            </w:pPr>
            <w:r w:rsidRPr="0040535C">
              <w:t>LV paper/aluminium sheathed</w:t>
            </w:r>
          </w:p>
          <w:p w:rsidR="00000000" w:rsidRPr="0040535C" w:rsidP="0040535C">
            <w:pPr>
              <w:pStyle w:val="ListBullet"/>
            </w:pPr>
            <w:r w:rsidRPr="0040535C">
              <w:t>completing at least two (2) of the following cable joints:</w:t>
            </w:r>
          </w:p>
          <w:p w:rsidR="00000000" w:rsidRPr="0040535C" w:rsidP="0040535C">
            <w:pPr>
              <w:pStyle w:val="ListBullet2"/>
            </w:pPr>
            <w:r w:rsidRPr="0040535C">
              <w:t>tee-off joints</w:t>
            </w:r>
          </w:p>
          <w:p w:rsidR="00000000" w:rsidRPr="0040535C" w:rsidP="0040535C">
            <w:pPr>
              <w:pStyle w:val="ListBullet2"/>
            </w:pPr>
            <w:r w:rsidRPr="0040535C">
              <w:t>straight through joints</w:t>
            </w:r>
          </w:p>
          <w:p w:rsidR="00000000" w:rsidRPr="0040535C" w:rsidP="0040535C">
            <w:pPr>
              <w:pStyle w:val="ListBullet2"/>
            </w:pPr>
            <w:r w:rsidRPr="0040535C">
              <w:t>parallel branch joints</w:t>
            </w:r>
          </w:p>
          <w:p w:rsidR="00000000" w:rsidRPr="0040535C" w:rsidP="0040535C">
            <w:pPr>
              <w:pStyle w:val="ListBullet2"/>
            </w:pPr>
            <w:r w:rsidRPr="0040535C">
              <w:t>parallel joints</w:t>
            </w:r>
          </w:p>
          <w:p w:rsidR="00000000" w:rsidRPr="0040535C" w:rsidP="0040535C">
            <w:pPr>
              <w:pStyle w:val="ListBullet"/>
            </w:pPr>
            <w:r w:rsidRPr="0040535C">
              <w:t>completing at least two (2) of the following cable terminations:</w:t>
            </w:r>
          </w:p>
          <w:p w:rsidR="00000000" w:rsidRPr="0040535C" w:rsidP="0040535C">
            <w:pPr>
              <w:pStyle w:val="ListBullet2"/>
            </w:pPr>
            <w:r w:rsidRPr="0040535C">
              <w:t>transformers</w:t>
            </w:r>
          </w:p>
          <w:p w:rsidR="00000000" w:rsidRPr="0040535C" w:rsidP="0040535C">
            <w:pPr>
              <w:pStyle w:val="ListBullet2"/>
            </w:pPr>
            <w:r w:rsidRPr="0040535C">
              <w:t>LV switchboards</w:t>
            </w:r>
          </w:p>
          <w:p w:rsidR="00000000" w:rsidRPr="0040535C" w:rsidP="0040535C">
            <w:pPr>
              <w:pStyle w:val="ListBullet2"/>
            </w:pPr>
            <w:r w:rsidRPr="0040535C">
              <w:t>pillars/turrets</w:t>
            </w:r>
          </w:p>
          <w:p w:rsidR="00000000" w:rsidRPr="0040535C" w:rsidP="0040535C">
            <w:pPr>
              <w:pStyle w:val="ListBullet2"/>
            </w:pPr>
            <w:r w:rsidRPr="0040535C">
              <w:t>lighting columns</w:t>
            </w:r>
          </w:p>
          <w:p w:rsidR="00000000" w:rsidRPr="0040535C" w:rsidP="0040535C">
            <w:pPr>
              <w:pStyle w:val="ListBullet2"/>
            </w:pPr>
            <w:r w:rsidRPr="0040535C">
              <w:t>ring main units</w:t>
            </w:r>
          </w:p>
          <w:p w:rsidR="00000000" w:rsidRPr="0040535C" w:rsidP="0040535C">
            <w:pPr>
              <w:pStyle w:val="ListBullet2"/>
            </w:pPr>
            <w:r w:rsidRPr="0040535C">
              <w:t>chamber substations</w:t>
            </w:r>
          </w:p>
          <w:p w:rsidR="00000000" w:rsidRPr="0040535C" w:rsidP="0040535C">
            <w:pPr>
              <w:pStyle w:val="ListBullet2"/>
            </w:pPr>
            <w:r w:rsidRPr="0040535C">
              <w:t>underground overhead termina</w:t>
            </w:r>
            <w:r w:rsidRPr="0040535C">
              <w:t>tions</w:t>
            </w:r>
          </w:p>
          <w:p w:rsidR="00000000" w:rsidRPr="0040535C" w:rsidP="0040535C">
            <w:pPr>
              <w:pStyle w:val="ListBullet2"/>
            </w:pPr>
            <w:r w:rsidRPr="0040535C">
              <w:t>circuit breakers</w:t>
            </w:r>
          </w:p>
          <w:p w:rsidR="00000000" w:rsidRPr="0040535C" w:rsidP="0040535C">
            <w:pPr>
              <w:pStyle w:val="ListBullet"/>
            </w:pPr>
            <w:r w:rsidRPr="0040535C">
              <w:t>using at least one (1) of the following:</w:t>
            </w:r>
          </w:p>
          <w:p w:rsidR="00000000" w:rsidRPr="0040535C" w:rsidP="0040535C">
            <w:pPr>
              <w:pStyle w:val="ListBullet2"/>
            </w:pPr>
            <w:r w:rsidRPr="0040535C">
              <w:t>busbar/termination boxes</w:t>
            </w:r>
          </w:p>
          <w:p w:rsidR="00000000" w:rsidRPr="0040535C" w:rsidP="0040535C">
            <w:pPr>
              <w:pStyle w:val="ListBullet2"/>
            </w:pPr>
            <w:r w:rsidRPr="0040535C">
              <w:t>links/fuses</w:t>
            </w:r>
          </w:p>
          <w:p w:rsidR="00000000" w:rsidRPr="0040535C" w:rsidP="0040535C">
            <w:pPr>
              <w:pStyle w:val="ListBullet2"/>
            </w:pPr>
            <w:r w:rsidRPr="0040535C">
              <w:t>disconnect boxes</w:t>
            </w:r>
          </w:p>
          <w:p w:rsidR="00000000" w:rsidRPr="0040535C" w:rsidP="0040535C">
            <w:pPr>
              <w:pStyle w:val="ListBullet2"/>
            </w:pPr>
            <w:r w:rsidRPr="0040535C">
              <w:t>termination boxes</w:t>
            </w:r>
          </w:p>
          <w:p w:rsidR="00000000" w:rsidRPr="0040535C" w:rsidP="0040535C">
            <w:pPr>
              <w:pStyle w:val="ListBullet2"/>
            </w:pPr>
            <w:r w:rsidRPr="0040535C">
              <w:t>control gear</w:t>
            </w:r>
          </w:p>
          <w:p w:rsidR="00000000" w:rsidRPr="0040535C" w:rsidP="0040535C">
            <w:pPr>
              <w:pStyle w:val="ListBullet"/>
            </w:pPr>
            <w:r w:rsidRPr="0040535C">
              <w:t>using at least one (1) of the following:</w:t>
            </w:r>
          </w:p>
          <w:p w:rsidR="00000000" w:rsidRPr="0040535C" w:rsidP="0040535C">
            <w:pPr>
              <w:pStyle w:val="ListBullet2"/>
            </w:pPr>
            <w:r w:rsidRPr="0040535C">
              <w:t>resin filled boxes</w:t>
            </w:r>
          </w:p>
          <w:p w:rsidR="00000000" w:rsidRPr="0040535C" w:rsidP="0040535C">
            <w:pPr>
              <w:pStyle w:val="ListBullet2"/>
            </w:pPr>
            <w:r w:rsidRPr="0040535C">
              <w:t>polymeric tape</w:t>
            </w:r>
          </w:p>
          <w:p w:rsidR="00000000" w:rsidRPr="0040535C" w:rsidP="0040535C">
            <w:pPr>
              <w:pStyle w:val="ListBullet2"/>
            </w:pPr>
            <w:r w:rsidRPr="0040535C">
              <w:t>heat shrink</w:t>
            </w:r>
          </w:p>
          <w:p w:rsidR="00000000" w:rsidRPr="0040535C" w:rsidP="0040535C">
            <w:pPr>
              <w:pStyle w:val="ListBullet2"/>
            </w:pPr>
            <w:r w:rsidRPr="0040535C">
              <w:t>‘slip-on’ moulds</w:t>
            </w:r>
          </w:p>
          <w:p w:rsidR="00000000" w:rsidRPr="0040535C" w:rsidP="0040535C">
            <w:pPr>
              <w:pStyle w:val="ListBullet2"/>
            </w:pPr>
            <w:r w:rsidRPr="0040535C">
              <w:t>pre-stretched polymeric</w:t>
            </w:r>
          </w:p>
          <w:p w:rsidR="00000000" w:rsidRPr="0040535C" w:rsidP="0040535C">
            <w:pPr>
              <w:pStyle w:val="ListBullet2"/>
            </w:pPr>
            <w:r w:rsidRPr="0040535C">
              <w:t>compound filled boxes</w:t>
            </w:r>
          </w:p>
          <w:p w:rsidR="00000000" w:rsidRPr="0040535C" w:rsidP="0040535C">
            <w:pPr>
              <w:pStyle w:val="ListBullet"/>
            </w:pPr>
            <w:r w:rsidRPr="0040535C">
              <w:t>using at least one (1) of the following cable conductor connection methods:</w:t>
            </w:r>
          </w:p>
          <w:p w:rsidR="00000000" w:rsidRPr="0040535C" w:rsidP="0040535C">
            <w:pPr>
              <w:pStyle w:val="ListBullet2"/>
            </w:pPr>
            <w:r w:rsidRPr="0040535C">
              <w:t>compression lugs</w:t>
            </w:r>
          </w:p>
          <w:p w:rsidR="00000000" w:rsidRPr="0040535C" w:rsidP="0040535C">
            <w:pPr>
              <w:pStyle w:val="ListBullet2"/>
            </w:pPr>
            <w:r w:rsidRPr="0040535C">
              <w:t>soldered lugs</w:t>
            </w:r>
          </w:p>
          <w:p w:rsidR="00000000" w:rsidRPr="0040535C" w:rsidP="0040535C">
            <w:pPr>
              <w:pStyle w:val="ListBullet2"/>
            </w:pPr>
            <w:r w:rsidRPr="0040535C">
              <w:t>mechanical connectors</w:t>
            </w:r>
          </w:p>
          <w:p w:rsidR="00000000" w:rsidRPr="0040535C" w:rsidP="0040535C">
            <w:pPr>
              <w:pStyle w:val="ListBullet"/>
            </w:pPr>
            <w:r w:rsidRPr="0040535C">
              <w:t>using at least one (1) of the following:</w:t>
            </w:r>
          </w:p>
          <w:p w:rsidR="00000000" w:rsidRPr="0040535C" w:rsidP="0040535C">
            <w:pPr>
              <w:pStyle w:val="ListBullet2"/>
            </w:pPr>
            <w:r w:rsidRPr="0040535C">
              <w:t>voltage detectors</w:t>
            </w:r>
          </w:p>
          <w:p w:rsidR="00000000" w:rsidRPr="0040535C" w:rsidP="0040535C">
            <w:pPr>
              <w:pStyle w:val="ListBullet2"/>
            </w:pPr>
            <w:r w:rsidRPr="0040535C">
              <w:t>insulation resistance testers</w:t>
            </w:r>
          </w:p>
          <w:p w:rsidR="00000000" w:rsidRPr="0040535C" w:rsidP="0040535C">
            <w:pPr>
              <w:pStyle w:val="ListBullet"/>
            </w:pPr>
            <w:r w:rsidRPr="0040535C">
              <w:t>dealing with unplanned events on at least one (1) occasion.</w:t>
            </w:r>
          </w:p>
        </w:tc>
      </w:tr>
    </w:tbl>
    <w:p w:rsidR="00000000" w:rsidRPr="0040535C" w:rsidP="0040535C">
      <w:pPr>
        <w:pStyle w:val="NoPaddingFontSize1"/>
      </w:pPr>
    </w:p>
    <w:p w:rsidR="00000000" w:rsidRPr="0040535C" w:rsidP="0040535C">
      <w:pPr>
        <w:pStyle w:val="AllowPageBreak"/>
      </w:pPr>
    </w:p>
    <w:p w:rsidR="00000000" w:rsidRPr="0040535C" w:rsidP="0040535C">
      <w:pPr>
        <w:pStyle w:val="Heading1"/>
      </w:pPr>
      <w:bookmarkStart w:id="3" w:name="O_1001951"/>
      <w:bookmarkEnd w:id="3"/>
      <w:r w:rsidRPr="0040535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3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5C">
            <w:pPr>
              <w:pStyle w:val="BodyText"/>
              <w:rPr>
                <w:lang w:val="en-NZ"/>
              </w:rPr>
            </w:pPr>
            <w:r w:rsidRPr="0040535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053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35C" w:rsidP="0040535C">
            <w:pPr>
              <w:pStyle w:val="ListBullet"/>
            </w:pPr>
            <w:r w:rsidRPr="0040535C">
              <w:t>safety precautions specific to handling and jointing underground aluminium</w:t>
            </w:r>
            <w:r w:rsidRPr="0040535C">
              <w:t xml:space="preserve"> and lead cable, including provision of WHS/OHS information, such as material safety data sheets (MSDS)</w:t>
            </w:r>
          </w:p>
          <w:p w:rsidR="00000000" w:rsidRPr="0040535C" w:rsidP="0040535C">
            <w:pPr>
              <w:pStyle w:val="ListBullet"/>
            </w:pPr>
            <w:r w:rsidRPr="0040535C">
              <w:t>requirements for the use of enterprise manuals, system diagrams/plans and drawings</w:t>
            </w:r>
          </w:p>
          <w:p w:rsidR="00000000" w:rsidRPr="0040535C" w:rsidP="0040535C">
            <w:pPr>
              <w:pStyle w:val="ListBullet"/>
            </w:pPr>
            <w:r w:rsidRPr="0040535C">
              <w:t>construction and structure(s) of aluminium and lead cable underground</w:t>
            </w:r>
            <w:r w:rsidRPr="0040535C">
              <w:t xml:space="preserve"> cables</w:t>
            </w:r>
          </w:p>
          <w:p w:rsidR="00000000" w:rsidRPr="0040535C" w:rsidP="0040535C">
            <w:pPr>
              <w:pStyle w:val="ListBullet"/>
            </w:pPr>
            <w:r w:rsidRPr="0040535C">
              <w:t>characteristics of aluminium and lead cable</w:t>
            </w:r>
          </w:p>
          <w:p w:rsidR="00000000" w:rsidRPr="0040535C" w:rsidP="0040535C">
            <w:pPr>
              <w:pStyle w:val="ListBullet"/>
            </w:pPr>
            <w:r w:rsidRPr="0040535C">
              <w:t>ratings</w:t>
            </w:r>
          </w:p>
          <w:p w:rsidR="00000000" w:rsidRPr="0040535C" w:rsidP="0040535C">
            <w:pPr>
              <w:pStyle w:val="ListBullet"/>
            </w:pPr>
            <w:r w:rsidRPr="0040535C">
              <w:t>techniques in the jointing of aluminium and lead sheathed cable</w:t>
            </w:r>
          </w:p>
          <w:p w:rsidR="00000000" w:rsidRPr="0040535C" w:rsidP="0040535C">
            <w:pPr>
              <w:pStyle w:val="ListBullet"/>
            </w:pPr>
            <w:r w:rsidRPr="0040535C">
              <w:t>methods of testing cable after jointing.</w:t>
            </w:r>
          </w:p>
        </w:tc>
      </w:tr>
    </w:tbl>
    <w:p w:rsidR="00000000" w:rsidRPr="0040535C" w:rsidP="0040535C">
      <w:pPr>
        <w:pStyle w:val="NoPaddingFontSize1"/>
      </w:pPr>
    </w:p>
    <w:p w:rsidR="00000000" w:rsidRPr="0040535C" w:rsidP="0040535C">
      <w:pPr>
        <w:pStyle w:val="AllowPageBreak"/>
      </w:pPr>
    </w:p>
    <w:p w:rsidR="00000000" w:rsidRPr="0040535C" w:rsidP="0040535C">
      <w:pPr>
        <w:pStyle w:val="Heading1"/>
      </w:pPr>
      <w:bookmarkStart w:id="4" w:name="O_1001952"/>
      <w:bookmarkEnd w:id="4"/>
      <w:r w:rsidRPr="0040535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3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35C" w:rsidP="0040535C">
            <w:pPr>
              <w:pStyle w:val="BodyText"/>
            </w:pPr>
            <w:r w:rsidRPr="0040535C">
              <w:t>Assessors must hold</w:t>
            </w:r>
            <w:r w:rsidRPr="0040535C">
              <w:t xml:space="preserve"> credentials specified within the Standards for Registered Training Organisations current at the time of assessment.</w:t>
            </w:r>
          </w:p>
          <w:p w:rsidR="00000000" w:rsidRPr="0040535C" w:rsidP="0040535C">
            <w:pPr>
              <w:pStyle w:val="BodyText"/>
            </w:pPr>
            <w:r w:rsidRPr="0040535C">
              <w:t>Assessment must satisfy the Principles of Assessment and Rules of Evidence and all regulatory requirements included within the Standards fo</w:t>
            </w:r>
            <w:r w:rsidRPr="0040535C">
              <w:t>r Registered Training Organisations current at the time of assessment.</w:t>
            </w:r>
          </w:p>
          <w:p w:rsidR="00000000" w:rsidRPr="0040535C" w:rsidP="0040535C">
            <w:pPr>
              <w:pStyle w:val="BodyText"/>
            </w:pPr>
            <w:r w:rsidRPr="0040535C">
              <w:t>Assessment must occur in workplace operational situations where it is appropriate to do so; where this is not appropriate, assessment must occur in simulated conditions involving realis</w:t>
            </w:r>
            <w:r w:rsidRPr="0040535C">
              <w:t>tic and authentic activities that replicate operational workplace conditions.</w:t>
            </w:r>
          </w:p>
          <w:p w:rsidR="00000000" w:rsidRPr="0040535C" w:rsidP="0040535C">
            <w:pPr>
              <w:pStyle w:val="BodyText"/>
            </w:pPr>
            <w:r w:rsidRPr="0040535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0535C" w:rsidP="0040535C">
            <w:pPr>
              <w:pStyle w:val="BodyText"/>
            </w:pPr>
            <w:r w:rsidRPr="0040535C">
              <w:t xml:space="preserve">Resources </w:t>
            </w:r>
            <w:r w:rsidRPr="0040535C">
              <w:t>for assessment must include access to:</w:t>
            </w:r>
          </w:p>
          <w:p w:rsidR="00000000" w:rsidRPr="0040535C" w:rsidP="0040535C">
            <w:pPr>
              <w:pStyle w:val="ListBullet"/>
            </w:pPr>
            <w:r w:rsidRPr="0040535C">
              <w:t>a range of relevant exercises, case studies and/or other simulations</w:t>
            </w:r>
          </w:p>
          <w:p w:rsidR="00000000" w:rsidRPr="0040535C" w:rsidP="0040535C">
            <w:pPr>
              <w:pStyle w:val="ListBullet"/>
            </w:pPr>
            <w:r w:rsidRPr="0040535C">
              <w:t xml:space="preserve">relevant and appropriate materials, tools, facilities, equipment and personal protective equipment (PPE) currently used in industry for installing </w:t>
            </w:r>
            <w:r w:rsidRPr="0040535C">
              <w:t>and maintaining de-energised LV underground paper insulated cables</w:t>
            </w:r>
          </w:p>
          <w:p w:rsidR="00000000" w:rsidRPr="0040535C" w:rsidP="0040535C">
            <w:pPr>
              <w:pStyle w:val="ListBullet"/>
            </w:pPr>
            <w:r w:rsidRPr="0040535C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40535C" w:rsidP="0040535C">
      <w:pPr>
        <w:pStyle w:val="NoPaddingFontSize1"/>
      </w:pPr>
    </w:p>
    <w:p w:rsidR="00000000" w:rsidRPr="0040535C" w:rsidP="0040535C">
      <w:pPr>
        <w:pStyle w:val="AllowPageBreak"/>
      </w:pPr>
    </w:p>
    <w:p w:rsidR="00000000" w:rsidRPr="0040535C" w:rsidP="0040535C">
      <w:pPr>
        <w:pStyle w:val="Heading1"/>
      </w:pPr>
      <w:bookmarkStart w:id="5" w:name="O_1001955"/>
      <w:bookmarkEnd w:id="5"/>
      <w:r w:rsidRPr="0040535C">
        <w:t>L</w:t>
      </w:r>
      <w:r w:rsidRPr="0040535C">
        <w:t>inks</w:t>
      </w:r>
    </w:p>
    <w:p w:rsidR="00000000" w:rsidRPr="0040535C" w:rsidP="009F03EC">
      <w:pPr>
        <w:pStyle w:val="BodyText"/>
      </w:pPr>
      <w:r w:rsidRPr="0040535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A055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0535C" w:rsidP="0040535C"/>
    <w:sectPr w:rsidSect="004053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3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35C" w:rsidRPr="009F03EC" w:rsidP="009F03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3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3EC" w:rsidP="004053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03EC" w:rsidP="004053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F03EC" w:rsidP="004053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3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3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35C" w:rsidRPr="009F03EC" w:rsidP="009F03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3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3EC" w:rsidRPr="002D2AF8" w:rsidP="004053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UETTDRCJ22 Install and maintain de-energised low voltage underground paper insulated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9F03EC" w:rsidP="004053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24A0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BED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34AC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3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3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3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3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3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3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3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3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3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3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3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35C"/>
  </w:style>
  <w:style w:type="character" w:customStyle="1" w:styleId="Heading1Char">
    <w:name w:val="Heading 1 Char"/>
    <w:basedOn w:val="DefaultParagraphFont"/>
    <w:link w:val="Heading1"/>
    <w:rsid w:val="004053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3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3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53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53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53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3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53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3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3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3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3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3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3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3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3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3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3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3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3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3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3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3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3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3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3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53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535C"/>
    <w:rPr>
      <w:b/>
      <w:spacing w:val="0"/>
    </w:rPr>
  </w:style>
  <w:style w:type="paragraph" w:customStyle="1" w:styleId="SuperTitle">
    <w:name w:val="SuperTitle"/>
    <w:basedOn w:val="Title"/>
    <w:rsid w:val="004053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3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3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53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3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3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3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3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3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3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3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3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35C"/>
    <w:rPr>
      <w:i/>
    </w:rPr>
  </w:style>
  <w:style w:type="paragraph" w:styleId="Caption">
    <w:name w:val="caption"/>
    <w:basedOn w:val="BodyText"/>
    <w:next w:val="Normal"/>
    <w:qFormat/>
    <w:rsid w:val="004053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3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3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35C"/>
  </w:style>
  <w:style w:type="paragraph" w:styleId="TableofFigures">
    <w:name w:val="table of figures"/>
    <w:basedOn w:val="Normal"/>
    <w:next w:val="Normal"/>
    <w:semiHidden/>
    <w:rsid w:val="004053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3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535C"/>
    <w:rPr>
      <w:rFonts w:ascii="Wingdings" w:hAnsi="Wingdings"/>
    </w:rPr>
  </w:style>
  <w:style w:type="paragraph" w:customStyle="1" w:styleId="TableHeading">
    <w:name w:val="Table Heading"/>
    <w:basedOn w:val="HeadingBase"/>
    <w:rsid w:val="004053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35C"/>
    <w:rPr>
      <w:color w:val="0033CC"/>
      <w:u w:val="none"/>
    </w:rPr>
  </w:style>
  <w:style w:type="paragraph" w:customStyle="1" w:styleId="BodyTextRight">
    <w:name w:val="Body Text Right"/>
    <w:basedOn w:val="BodyText"/>
    <w:rsid w:val="004053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3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3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3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3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3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35C"/>
    <w:rPr>
      <w:sz w:val="32"/>
    </w:rPr>
  </w:style>
  <w:style w:type="paragraph" w:customStyle="1" w:styleId="HeadingProcedure">
    <w:name w:val="Heading Procedure"/>
    <w:basedOn w:val="HeadingBase"/>
    <w:next w:val="Normal"/>
    <w:rsid w:val="004053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35C"/>
    <w:pPr>
      <w:spacing w:before="60" w:after="60"/>
    </w:pPr>
  </w:style>
  <w:style w:type="paragraph" w:styleId="ListContinue">
    <w:name w:val="List Continue"/>
    <w:basedOn w:val="List"/>
    <w:rsid w:val="0040535C"/>
    <w:pPr>
      <w:ind w:firstLine="0"/>
    </w:pPr>
  </w:style>
  <w:style w:type="paragraph" w:customStyle="1" w:styleId="ListNote">
    <w:name w:val="List Note"/>
    <w:basedOn w:val="List"/>
    <w:rsid w:val="004053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3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3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35C"/>
    <w:rPr>
      <w:rFonts w:ascii="Courier New" w:hAnsi="Courier New"/>
    </w:rPr>
  </w:style>
  <w:style w:type="paragraph" w:customStyle="1" w:styleId="NoteBullet">
    <w:name w:val="Note Bullet"/>
    <w:basedOn w:val="Note"/>
    <w:rsid w:val="004053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3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3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3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3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53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3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35C"/>
    <w:rPr>
      <w:b/>
      <w:smallCaps/>
    </w:rPr>
  </w:style>
  <w:style w:type="paragraph" w:customStyle="1" w:styleId="TableListNumber">
    <w:name w:val="Table List Number"/>
    <w:basedOn w:val="ListNumber"/>
    <w:rsid w:val="004053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3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35C"/>
    <w:pPr>
      <w:numPr>
        <w:numId w:val="9"/>
      </w:numPr>
    </w:pPr>
  </w:style>
  <w:style w:type="paragraph" w:customStyle="1" w:styleId="ListAlpha2">
    <w:name w:val="List Alpha 2"/>
    <w:basedOn w:val="List2"/>
    <w:rsid w:val="0040535C"/>
    <w:pPr>
      <w:numPr>
        <w:numId w:val="8"/>
      </w:numPr>
    </w:pPr>
  </w:style>
  <w:style w:type="paragraph" w:styleId="List2">
    <w:name w:val="List 2"/>
    <w:basedOn w:val="BodyText"/>
    <w:rsid w:val="004053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3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3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3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3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3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535C"/>
    <w:pPr>
      <w:numPr>
        <w:numId w:val="4"/>
      </w:numPr>
    </w:pPr>
  </w:style>
  <w:style w:type="paragraph" w:styleId="ListContinue2">
    <w:name w:val="List Continue 2"/>
    <w:basedOn w:val="List2"/>
    <w:rsid w:val="0040535C"/>
    <w:pPr>
      <w:ind w:firstLine="0"/>
    </w:pPr>
  </w:style>
  <w:style w:type="paragraph" w:styleId="ListContinue3">
    <w:name w:val="List Continue 3"/>
    <w:basedOn w:val="List3"/>
    <w:rsid w:val="0040535C"/>
    <w:pPr>
      <w:ind w:left="1021" w:firstLine="0"/>
    </w:pPr>
  </w:style>
  <w:style w:type="paragraph" w:styleId="ListContinue4">
    <w:name w:val="List Continue 4"/>
    <w:basedOn w:val="List4"/>
    <w:rsid w:val="0040535C"/>
    <w:pPr>
      <w:ind w:firstLine="0"/>
    </w:pPr>
  </w:style>
  <w:style w:type="paragraph" w:styleId="ListContinue5">
    <w:name w:val="List Continue 5"/>
    <w:basedOn w:val="List5"/>
    <w:rsid w:val="0040535C"/>
    <w:pPr>
      <w:ind w:firstLine="0"/>
    </w:pPr>
  </w:style>
  <w:style w:type="paragraph" w:styleId="ListNumber3">
    <w:name w:val="List Number 3"/>
    <w:basedOn w:val="List3"/>
    <w:rsid w:val="0040535C"/>
    <w:pPr>
      <w:numPr>
        <w:numId w:val="5"/>
      </w:numPr>
    </w:pPr>
  </w:style>
  <w:style w:type="paragraph" w:styleId="ListNumber4">
    <w:name w:val="List Number 4"/>
    <w:basedOn w:val="List4"/>
    <w:rsid w:val="0040535C"/>
    <w:pPr>
      <w:numPr>
        <w:numId w:val="6"/>
      </w:numPr>
    </w:pPr>
  </w:style>
  <w:style w:type="paragraph" w:styleId="ListNumber5">
    <w:name w:val="List Number 5"/>
    <w:basedOn w:val="List5"/>
    <w:rsid w:val="0040535C"/>
    <w:pPr>
      <w:numPr>
        <w:numId w:val="7"/>
      </w:numPr>
    </w:pPr>
  </w:style>
  <w:style w:type="paragraph" w:styleId="BlockText">
    <w:name w:val="Block Text"/>
    <w:basedOn w:val="Normal"/>
    <w:rsid w:val="004053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3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35C"/>
    <w:rPr>
      <w:sz w:val="16"/>
      <w:vertAlign w:val="superscript"/>
    </w:rPr>
  </w:style>
  <w:style w:type="character" w:customStyle="1" w:styleId="Symbols">
    <w:name w:val="Symbols"/>
    <w:basedOn w:val="DefaultParagraphFont"/>
    <w:rsid w:val="0040535C"/>
    <w:rPr>
      <w:rFonts w:ascii="Symbol" w:hAnsi="Symbol"/>
    </w:rPr>
  </w:style>
  <w:style w:type="character" w:customStyle="1" w:styleId="MenuOptions">
    <w:name w:val="Menu Options"/>
    <w:basedOn w:val="DefaultParagraphFont"/>
    <w:rsid w:val="004053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35C"/>
    <w:rPr>
      <w:b/>
    </w:rPr>
  </w:style>
  <w:style w:type="character" w:customStyle="1" w:styleId="Underlined">
    <w:name w:val="Underlined"/>
    <w:basedOn w:val="DefaultParagraphFont"/>
    <w:rsid w:val="0040535C"/>
    <w:rPr>
      <w:u w:val="single"/>
    </w:rPr>
  </w:style>
  <w:style w:type="paragraph" w:customStyle="1" w:styleId="TableBodyTextRight">
    <w:name w:val="Table Body Text Right"/>
    <w:basedOn w:val="TableBodyText"/>
    <w:rsid w:val="004053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35C"/>
    <w:rPr>
      <w:sz w:val="18"/>
    </w:rPr>
  </w:style>
  <w:style w:type="paragraph" w:customStyle="1" w:styleId="BodySmallRight">
    <w:name w:val="Body Small Right"/>
    <w:basedOn w:val="BodyTextRight"/>
    <w:rsid w:val="0040535C"/>
    <w:rPr>
      <w:sz w:val="18"/>
      <w:szCs w:val="18"/>
    </w:rPr>
  </w:style>
  <w:style w:type="paragraph" w:customStyle="1" w:styleId="MarginEdition">
    <w:name w:val="Margin Edition"/>
    <w:basedOn w:val="MarginNote"/>
    <w:rsid w:val="004053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35C"/>
    <w:rPr>
      <w:sz w:val="2"/>
      <w:szCs w:val="2"/>
    </w:rPr>
  </w:style>
  <w:style w:type="character" w:customStyle="1" w:styleId="Small">
    <w:name w:val="Small"/>
    <w:basedOn w:val="DefaultParagraphFont"/>
    <w:rsid w:val="0040535C"/>
    <w:rPr>
      <w:sz w:val="16"/>
    </w:rPr>
  </w:style>
  <w:style w:type="paragraph" w:customStyle="1" w:styleId="WideTable">
    <w:name w:val="Wide Table"/>
    <w:basedOn w:val="Normal"/>
    <w:rsid w:val="004053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35C"/>
  </w:style>
  <w:style w:type="paragraph" w:styleId="Quote">
    <w:name w:val="Quote"/>
    <w:basedOn w:val="Heading1"/>
    <w:link w:val="QuoteChar"/>
    <w:qFormat/>
    <w:rsid w:val="004053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3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35C"/>
    <w:pPr>
      <w:pageBreakBefore/>
    </w:pPr>
  </w:style>
  <w:style w:type="paragraph" w:customStyle="1" w:styleId="Border">
    <w:name w:val="Border"/>
    <w:basedOn w:val="Normal"/>
    <w:qFormat/>
    <w:rsid w:val="004053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3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3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3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3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3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3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3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3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35C"/>
    <w:rPr>
      <w:u w:val="single"/>
    </w:rPr>
  </w:style>
  <w:style w:type="character" w:customStyle="1" w:styleId="BoldandItalics">
    <w:name w:val="Bold and Italics"/>
    <w:qFormat/>
    <w:rsid w:val="0040535C"/>
    <w:rPr>
      <w:b/>
      <w:i/>
      <w:u w:val="none"/>
    </w:rPr>
  </w:style>
  <w:style w:type="paragraph" w:styleId="BalloonText">
    <w:name w:val="Balloon Text"/>
    <w:basedOn w:val="Normal"/>
    <w:link w:val="BalloonTextChar"/>
    <w:rsid w:val="004053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3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3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3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3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3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35C"/>
    <w:pPr>
      <w:spacing w:before="0" w:after="0"/>
    </w:pPr>
  </w:style>
  <w:style w:type="paragraph" w:customStyle="1" w:styleId="BodyTextBold">
    <w:name w:val="Body Text Bold"/>
    <w:basedOn w:val="BodyText"/>
    <w:qFormat/>
    <w:rsid w:val="0040535C"/>
    <w:rPr>
      <w:b/>
    </w:rPr>
  </w:style>
  <w:style w:type="character" w:styleId="Hyperlink">
    <w:name w:val="Hyperlink"/>
    <w:basedOn w:val="DefaultParagraphFont"/>
    <w:uiPriority w:val="99"/>
    <w:unhideWhenUsed/>
    <w:rsid w:val="009F03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3638</Characters>
  <Application>Microsoft Office Word</Application>
  <DocSecurity>0</DocSecurity>
  <Lines>101</Lines>
  <Paragraphs>79</Paragraphs>
  <ScaleCrop>false</ScaleCrop>
  <Company>Author-it Software Corporation Ltd.</Company>
  <LinksUpToDate>false</LinksUpToDate>
  <CharactersWithSpaces>4113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UETTDRCJ22 Install and maintain de-energised low voltage underground paper insulated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2021-04-20T06:40:00Z</dcterms:created>
  <dcterms:modified xsi:type="dcterms:W3CDTF">2021-04-20T06:40:00Z</dcterms:modified>
</cp:coreProperties>
</file>