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769" w:rsidP="00583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UETDRTS036 Develop secondary protection and control scheme isolation and restoration documents</w:t>
      </w:r>
      <w:r>
        <w:fldChar w:fldCharType="end"/>
      </w:r>
    </w:p>
    <w:p w:rsidR="00583769" w:rsidP="00583769">
      <w:pPr>
        <w:pStyle w:val="Version"/>
        <w:sectPr w:rsidSect="00BF7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6DB" w:rsidP="00BF76DB">
      <w:pPr>
        <w:pStyle w:val="SuperHeading"/>
      </w:pPr>
      <w:r w:rsidRPr="00BF76DB">
        <w:t>Assessment Requirements for UETDRTS036 Develop secondary protection and control scheme isolation and restoration documents</w:t>
      </w:r>
    </w:p>
    <w:p w:rsidR="00000000" w:rsidRPr="00BF76DB" w:rsidP="00BF76DB">
      <w:pPr>
        <w:pStyle w:val="Heading1"/>
      </w:pPr>
      <w:bookmarkStart w:id="1" w:name="O_1237824"/>
      <w:bookmarkEnd w:id="1"/>
      <w:r w:rsidRPr="00BF76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6DB" w:rsidP="00BF76DB">
            <w:pPr>
              <w:pStyle w:val="BodyText"/>
            </w:pPr>
            <w:r w:rsidRPr="00BF76DB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F76DB" w:rsidP="00BF76DB">
      <w:pPr>
        <w:pStyle w:val="NoPaddingFontSize1"/>
      </w:pPr>
    </w:p>
    <w:p w:rsidR="00000000" w:rsidRPr="00BF76DB" w:rsidP="00BF76DB">
      <w:pPr>
        <w:pStyle w:val="AllowPageBreak"/>
      </w:pPr>
    </w:p>
    <w:p w:rsidR="00000000" w:rsidRPr="00BF76DB" w:rsidP="00BF76DB">
      <w:pPr>
        <w:pStyle w:val="Heading1"/>
      </w:pPr>
      <w:bookmarkStart w:id="2" w:name="O_1237825"/>
      <w:bookmarkEnd w:id="2"/>
      <w:r w:rsidRPr="00BF76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6DB">
            <w:pPr>
              <w:pStyle w:val="BodyText"/>
              <w:rPr>
                <w:lang w:val="en-NZ"/>
              </w:rPr>
            </w:pPr>
            <w:r w:rsidRPr="00BF76DB">
              <w:t>Evidence required to demonstrate competence in this unit must be r</w:t>
            </w:r>
            <w:r w:rsidRPr="00BF76DB">
              <w:t>elevant to and satisfy all of the requirements of the elements and performance criteria on at least two (2) separate occasions and include:</w:t>
            </w:r>
          </w:p>
        </w:tc>
      </w:tr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6DB" w:rsidP="00BF76DB">
            <w:pPr>
              <w:pStyle w:val="ListBullet"/>
            </w:pPr>
            <w:r w:rsidRPr="00BF76DB">
              <w:t>determining the preparation required for the secondary isolation and restoration instructional documents including</w:t>
            </w:r>
            <w:r w:rsidRPr="00BF76DB">
              <w:t>:</w:t>
            </w:r>
          </w:p>
          <w:p w:rsidR="00000000" w:rsidRPr="00BF76DB" w:rsidP="00BF76DB">
            <w:pPr>
              <w:pStyle w:val="ListBullet2"/>
            </w:pPr>
            <w:r w:rsidRPr="00BF76DB">
              <w:t>applicable workplace organisational procedures</w:t>
            </w:r>
          </w:p>
          <w:p w:rsidR="00000000" w:rsidRPr="00BF76DB" w:rsidP="00BF76DB">
            <w:pPr>
              <w:pStyle w:val="ListBullet2"/>
            </w:pPr>
            <w:r w:rsidRPr="00BF76DB">
              <w:t>testing procedures</w:t>
            </w:r>
          </w:p>
          <w:p w:rsidR="00000000" w:rsidRPr="00BF76DB" w:rsidP="00BF76DB">
            <w:pPr>
              <w:pStyle w:val="ListBullet2"/>
            </w:pPr>
            <w:r w:rsidRPr="00BF76DB">
              <w:t>tools, equipment, personal protective equipment (PPE) and work permits</w:t>
            </w:r>
          </w:p>
          <w:p w:rsidR="00000000" w:rsidRPr="00BF76DB" w:rsidP="00BF76DB">
            <w:pPr>
              <w:pStyle w:val="ListBullet2"/>
            </w:pPr>
            <w:r w:rsidRPr="00BF76DB">
              <w:t>relevant stakeholders</w:t>
            </w:r>
          </w:p>
          <w:p w:rsidR="00000000" w:rsidRPr="00BF76DB" w:rsidP="00BF76DB">
            <w:pPr>
              <w:pStyle w:val="ListBullet"/>
            </w:pPr>
            <w:r w:rsidRPr="00BF76DB">
              <w:t>establishing the purpose of the secondary isolation and restoration instructional documents</w:t>
            </w:r>
          </w:p>
          <w:p w:rsidR="00000000" w:rsidRPr="00BF76DB" w:rsidP="00BF76DB">
            <w:pPr>
              <w:pStyle w:val="ListBullet"/>
            </w:pPr>
            <w:r w:rsidRPr="00BF76DB">
              <w:t>developing secondary isolation and restoration instructional documents for at least two (2) of the following substation equipment:</w:t>
            </w:r>
          </w:p>
          <w:p w:rsidR="00000000" w:rsidRPr="00BF76DB" w:rsidP="00BF76DB">
            <w:pPr>
              <w:pStyle w:val="ListBullet2"/>
            </w:pPr>
            <w:r w:rsidRPr="00BF76DB">
              <w:t>bus protection</w:t>
            </w:r>
          </w:p>
          <w:p w:rsidR="00000000" w:rsidRPr="00BF76DB" w:rsidP="00BF76DB">
            <w:pPr>
              <w:pStyle w:val="ListBullet2"/>
            </w:pPr>
            <w:r w:rsidRPr="00BF76DB">
              <w:t>feeder/line protection</w:t>
            </w:r>
          </w:p>
          <w:p w:rsidR="00000000" w:rsidRPr="00BF76DB" w:rsidP="00BF76DB">
            <w:pPr>
              <w:pStyle w:val="ListBullet2"/>
            </w:pPr>
            <w:r w:rsidRPr="00BF76DB">
              <w:t>transformer protection</w:t>
            </w:r>
          </w:p>
          <w:p w:rsidR="00000000" w:rsidRPr="00BF76DB" w:rsidP="00BF76DB">
            <w:pPr>
              <w:pStyle w:val="ListBullet2"/>
            </w:pPr>
            <w:r w:rsidRPr="00BF76DB">
              <w:t>earth fault protection</w:t>
            </w:r>
          </w:p>
          <w:p w:rsidR="00000000" w:rsidRPr="00BF76DB" w:rsidP="00BF76DB">
            <w:pPr>
              <w:pStyle w:val="ListBullet2"/>
            </w:pPr>
            <w:r w:rsidRPr="00BF76DB">
              <w:t>backup protection</w:t>
            </w:r>
          </w:p>
          <w:p w:rsidR="00000000" w:rsidRPr="00BF76DB" w:rsidP="00BF76DB">
            <w:pPr>
              <w:pStyle w:val="ListBullet2"/>
            </w:pPr>
            <w:r w:rsidRPr="00BF76DB">
              <w:t>pilot wire/differentia</w:t>
            </w:r>
            <w:r w:rsidRPr="00BF76DB">
              <w:t>l protection</w:t>
            </w:r>
          </w:p>
          <w:p w:rsidR="00000000" w:rsidRPr="00BF76DB" w:rsidP="00BF76DB">
            <w:pPr>
              <w:pStyle w:val="ListBullet"/>
            </w:pPr>
            <w:r w:rsidRPr="00BF76DB">
              <w:t>applying the following when developing secondary isolation and restoration instructional documents:</w:t>
            </w:r>
          </w:p>
          <w:p w:rsidR="00000000" w:rsidRPr="00BF76DB" w:rsidP="00BF76DB">
            <w:pPr>
              <w:pStyle w:val="ListBullet2"/>
            </w:pPr>
            <w:r w:rsidRPr="00BF76DB">
              <w:t>work tasks and sequence of isolation and restoration</w:t>
            </w:r>
          </w:p>
          <w:p w:rsidR="00000000" w:rsidRPr="00BF76DB" w:rsidP="00BF76DB">
            <w:pPr>
              <w:pStyle w:val="ListBullet2"/>
            </w:pPr>
            <w:r w:rsidRPr="00BF76DB">
              <w:t>hazard assessment and control measures</w:t>
            </w:r>
          </w:p>
          <w:p w:rsidR="00000000" w:rsidRPr="00BF76DB" w:rsidP="00BF76DB">
            <w:pPr>
              <w:pStyle w:val="ListBullet2"/>
            </w:pPr>
            <w:r w:rsidRPr="00BF76DB">
              <w:t>consideration of network stability</w:t>
            </w:r>
          </w:p>
          <w:p w:rsidR="00000000" w:rsidRPr="00BF76DB" w:rsidP="00BF76DB">
            <w:pPr>
              <w:pStyle w:val="ListBullet"/>
            </w:pPr>
            <w:r w:rsidRPr="00BF76DB">
              <w:t>notifying appropriate personnel of the completed secondary isolation and restoration instructional documents.</w:t>
            </w:r>
          </w:p>
        </w:tc>
      </w:tr>
    </w:tbl>
    <w:p w:rsidR="00000000" w:rsidRPr="00BF76DB" w:rsidP="00BF76DB">
      <w:pPr>
        <w:pStyle w:val="NoPaddingFontSize1"/>
      </w:pPr>
    </w:p>
    <w:p w:rsidR="00000000" w:rsidRPr="00BF76DB" w:rsidP="00BF76DB">
      <w:pPr>
        <w:pStyle w:val="AllowPageBreak"/>
      </w:pPr>
    </w:p>
    <w:p w:rsidR="00000000" w:rsidRPr="00BF76DB" w:rsidP="00BF76DB">
      <w:pPr>
        <w:pStyle w:val="Heading1"/>
      </w:pPr>
      <w:bookmarkStart w:id="3" w:name="O_1237826"/>
      <w:bookmarkEnd w:id="3"/>
      <w:r w:rsidRPr="00BF76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6DB">
            <w:pPr>
              <w:pStyle w:val="BodyText"/>
              <w:rPr>
                <w:lang w:val="en-NZ"/>
              </w:rPr>
            </w:pPr>
            <w:r w:rsidRPr="00BF76DB">
              <w:t xml:space="preserve">Evidence required to demonstrate competence in this unit must be relevant to and satisfy all of </w:t>
            </w:r>
            <w:r w:rsidRPr="00BF76DB">
              <w:t>the requir</w:t>
            </w:r>
            <w:r w:rsidRPr="00BF76DB">
              <w:t>ements of the elements and performance criteria and include knowledge of:</w:t>
            </w:r>
          </w:p>
        </w:tc>
      </w:tr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6DB" w:rsidP="00BF76DB">
            <w:pPr>
              <w:pStyle w:val="ListBullet"/>
            </w:pPr>
            <w:r w:rsidRPr="00BF76DB">
              <w:t>permit types and application for secondary equipment</w:t>
            </w:r>
          </w:p>
          <w:p w:rsidR="00000000" w:rsidRPr="00BF76DB" w:rsidP="00BF76DB">
            <w:pPr>
              <w:pStyle w:val="ListBullet"/>
            </w:pPr>
            <w:r w:rsidRPr="00BF76DB">
              <w:t>system diagrams/plans and drawings, manufacturer manuals</w:t>
            </w:r>
          </w:p>
          <w:p w:rsidR="00000000" w:rsidRPr="00BF76DB" w:rsidP="00BF76DB">
            <w:pPr>
              <w:pStyle w:val="ListBullet"/>
            </w:pPr>
            <w:r w:rsidRPr="00BF76DB">
              <w:t>electrical equipment fundamentals including:</w:t>
            </w:r>
          </w:p>
          <w:p w:rsidR="00000000" w:rsidRPr="00BF76DB" w:rsidP="00BF76DB">
            <w:pPr>
              <w:pStyle w:val="ListBullet2"/>
            </w:pPr>
            <w:r w:rsidRPr="00BF76DB">
              <w:t>safety precautions with regard to using electrical equipment</w:t>
            </w:r>
          </w:p>
          <w:p w:rsidR="00000000" w:rsidRPr="00BF76DB" w:rsidP="00BF76DB">
            <w:pPr>
              <w:pStyle w:val="ListBullet2"/>
            </w:pPr>
            <w:r w:rsidRPr="00BF76DB">
              <w:t>techniques in pre-use inspection on the serviceability of electrical equipment</w:t>
            </w:r>
          </w:p>
          <w:p w:rsidR="00000000" w:rsidRPr="00BF76DB" w:rsidP="00BF76DB">
            <w:pPr>
              <w:pStyle w:val="ListBullet2"/>
            </w:pPr>
            <w:r w:rsidRPr="00BF76DB">
              <w:t>techniques in the general maintenance, care and storage of electrical equipment</w:t>
            </w:r>
          </w:p>
          <w:p w:rsidR="00000000" w:rsidRPr="00BF76DB" w:rsidP="00BF76DB">
            <w:pPr>
              <w:pStyle w:val="ListBullet2"/>
            </w:pPr>
            <w:r w:rsidRPr="00BF76DB">
              <w:t>identifying hazards, assessing and c</w:t>
            </w:r>
            <w:r w:rsidRPr="00BF76DB">
              <w:t>ontrolling risks associated with the use of electrical equipment</w:t>
            </w:r>
          </w:p>
          <w:p w:rsidR="00000000" w:rsidRPr="00BF76DB" w:rsidP="00BF76DB">
            <w:pPr>
              <w:pStyle w:val="ListBullet"/>
            </w:pPr>
            <w:r w:rsidRPr="00BF76DB">
              <w:t>processes for developing secondary isolation and restoration instructional documents including:</w:t>
            </w:r>
          </w:p>
          <w:p w:rsidR="00000000" w:rsidRPr="00BF76DB" w:rsidP="00BF76DB">
            <w:pPr>
              <w:pStyle w:val="ListBullet2"/>
            </w:pPr>
            <w:r w:rsidRPr="00BF76DB">
              <w:t>secondary isolation and restoration principles</w:t>
            </w:r>
          </w:p>
          <w:p w:rsidR="00000000" w:rsidRPr="00BF76DB" w:rsidP="00BF76DB">
            <w:pPr>
              <w:pStyle w:val="ListBullet2"/>
            </w:pPr>
            <w:r w:rsidRPr="00BF76DB">
              <w:t>correct sequence of isolation and restoration</w:t>
            </w:r>
          </w:p>
          <w:p w:rsidR="00000000" w:rsidRPr="00BF76DB" w:rsidP="00BF76DB">
            <w:pPr>
              <w:pStyle w:val="ListBullet2"/>
            </w:pPr>
            <w:r w:rsidRPr="00BF76DB">
              <w:t>stakeholder engagement</w:t>
            </w:r>
          </w:p>
          <w:p w:rsidR="00000000" w:rsidRPr="00BF76DB" w:rsidP="00BF76DB">
            <w:pPr>
              <w:pStyle w:val="ListBullet2"/>
            </w:pPr>
            <w:r w:rsidRPr="00BF76DB">
              <w:t>adequate protection remains in service to provide plant protection</w:t>
            </w:r>
          </w:p>
          <w:p w:rsidR="00000000" w:rsidRPr="00BF76DB" w:rsidP="00BF76DB">
            <w:pPr>
              <w:pStyle w:val="ListBullet2"/>
            </w:pPr>
            <w:r w:rsidRPr="00BF76DB">
              <w:t>instruction preparation</w:t>
            </w:r>
          </w:p>
          <w:p w:rsidR="00000000" w:rsidRPr="00BF76DB" w:rsidP="00BF76DB">
            <w:pPr>
              <w:pStyle w:val="ListBullet2"/>
            </w:pPr>
            <w:r w:rsidRPr="00BF76DB">
              <w:t>network stability</w:t>
            </w:r>
          </w:p>
          <w:p w:rsidR="00000000" w:rsidRPr="00BF76DB" w:rsidP="00BF76DB">
            <w:pPr>
              <w:pStyle w:val="ListBullet2"/>
            </w:pPr>
            <w:r w:rsidRPr="00BF76DB">
              <w:t>remote control systems</w:t>
            </w:r>
          </w:p>
          <w:p w:rsidR="00000000" w:rsidRPr="00BF76DB" w:rsidP="00BF76DB">
            <w:pPr>
              <w:pStyle w:val="ListBullet"/>
            </w:pPr>
            <w:r w:rsidRPr="00BF76DB">
              <w:t>protection schemes including:</w:t>
            </w:r>
          </w:p>
          <w:p w:rsidR="00000000" w:rsidRPr="00BF76DB" w:rsidP="00BF76DB">
            <w:pPr>
              <w:pStyle w:val="ListBullet2"/>
            </w:pPr>
            <w:r w:rsidRPr="00BF76DB">
              <w:t>codes, supply authority regulations and organisational requirements</w:t>
            </w:r>
          </w:p>
          <w:p w:rsidR="00000000" w:rsidRPr="00BF76DB" w:rsidP="00BF76DB">
            <w:pPr>
              <w:pStyle w:val="ListBullet2"/>
            </w:pPr>
            <w:r w:rsidRPr="00BF76DB">
              <w:t>t</w:t>
            </w:r>
            <w:r w:rsidRPr="00BF76DB">
              <w:t>ypes of protection schemes, reasons for use, application of protection zones around system elements and degree of protection.</w:t>
            </w:r>
          </w:p>
        </w:tc>
      </w:tr>
    </w:tbl>
    <w:p w:rsidR="00000000" w:rsidRPr="00BF76DB" w:rsidP="00BF76DB">
      <w:pPr>
        <w:pStyle w:val="NoPaddingFontSize1"/>
      </w:pPr>
    </w:p>
    <w:p w:rsidR="00000000" w:rsidRPr="00BF76DB" w:rsidP="00BF76DB">
      <w:pPr>
        <w:pStyle w:val="AllowPageBreak"/>
      </w:pPr>
    </w:p>
    <w:p w:rsidR="00000000" w:rsidRPr="00BF76DB" w:rsidP="00BF76DB">
      <w:pPr>
        <w:pStyle w:val="Heading1"/>
      </w:pPr>
      <w:bookmarkStart w:id="4" w:name="O_1237827"/>
      <w:bookmarkEnd w:id="4"/>
      <w:r w:rsidRPr="00BF76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6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6DB" w:rsidP="00BF76DB">
            <w:pPr>
              <w:pStyle w:val="BodyText"/>
            </w:pPr>
            <w:r w:rsidRPr="00BF76DB">
              <w:t>Assessors must hold credentials specified within the Standards for Registered Training Organisations current at the time of assessment.</w:t>
            </w:r>
          </w:p>
          <w:p w:rsidR="00000000" w:rsidRPr="00BF76DB" w:rsidP="00BF76DB">
            <w:pPr>
              <w:pStyle w:val="BodyText"/>
            </w:pPr>
            <w:r w:rsidRPr="00BF76DB">
              <w:t>Assessment must satisfy the Principles of Assessment and Rules of Evidence and all regulatory requirements included with</w:t>
            </w:r>
            <w:r w:rsidRPr="00BF76DB">
              <w:t>in the Standards for Registered Training Organisations current at the time of assessment.</w:t>
            </w:r>
          </w:p>
          <w:p w:rsidR="00000000" w:rsidRPr="00BF76DB" w:rsidP="00BF76DB">
            <w:pPr>
              <w:pStyle w:val="BodyText"/>
            </w:pPr>
            <w:r w:rsidRPr="00BF76DB">
              <w:t>Assessment must occur in workplace operational situations where it is appropriate to do so.</w:t>
            </w:r>
          </w:p>
          <w:p w:rsidR="00000000" w:rsidRPr="00BF76DB" w:rsidP="00BF76DB">
            <w:pPr>
              <w:pStyle w:val="BodyText"/>
            </w:pPr>
            <w:r w:rsidRPr="00BF76DB">
              <w:t>Where this is not appropriate, assessment must occur in simulated conditio</w:t>
            </w:r>
            <w:r w:rsidRPr="00BF76DB">
              <w:t>ns involving realistic and authentic activities that replicate operational workplace conditions.</w:t>
            </w:r>
          </w:p>
          <w:p w:rsidR="00000000" w:rsidRPr="00BF76DB" w:rsidP="00BF76DB">
            <w:pPr>
              <w:pStyle w:val="BodyText"/>
            </w:pPr>
            <w:r w:rsidRPr="00BF76DB">
              <w:t>Assessment processes and techniques must be appropriate to the language, literacy and numeracy requirements of the work being performed and the needs of the ca</w:t>
            </w:r>
            <w:r w:rsidRPr="00BF76DB">
              <w:t>ndidate.</w:t>
            </w:r>
          </w:p>
          <w:p w:rsidR="00000000" w:rsidRPr="00BF76DB" w:rsidP="00BF76DB">
            <w:pPr>
              <w:pStyle w:val="BodyText"/>
            </w:pPr>
            <w:r w:rsidRPr="00BF76DB">
              <w:t>Resources for assessment must include access to:</w:t>
            </w:r>
          </w:p>
          <w:p w:rsidR="00000000" w:rsidRPr="00BF76DB" w:rsidP="00BF76DB">
            <w:pPr>
              <w:pStyle w:val="ListBullet"/>
            </w:pPr>
            <w:r w:rsidRPr="00BF76DB">
              <w:t>applicable documentation, including workplace requirements, supply authority regulations, codes and operation manuals.</w:t>
            </w:r>
          </w:p>
        </w:tc>
      </w:tr>
    </w:tbl>
    <w:p w:rsidR="00000000" w:rsidRPr="00BF76DB" w:rsidP="00BF76DB">
      <w:pPr>
        <w:pStyle w:val="NoPaddingFontSize1"/>
      </w:pPr>
    </w:p>
    <w:p w:rsidR="00000000" w:rsidRPr="00BF76DB" w:rsidP="00BF76DB">
      <w:pPr>
        <w:pStyle w:val="AllowPageBreak"/>
      </w:pPr>
    </w:p>
    <w:p w:rsidR="00000000" w:rsidRPr="00BF76DB" w:rsidP="00BF76DB">
      <w:pPr>
        <w:pStyle w:val="Heading1"/>
      </w:pPr>
      <w:bookmarkStart w:id="5" w:name="O_1237830"/>
      <w:bookmarkEnd w:id="5"/>
      <w:r w:rsidRPr="00BF76DB">
        <w:t>Links</w:t>
      </w:r>
    </w:p>
    <w:p w:rsidR="00000000" w:rsidRPr="00BF76DB" w:rsidP="00583769">
      <w:pPr>
        <w:pStyle w:val="BodyText"/>
      </w:pPr>
      <w:r w:rsidRPr="00BF76DB">
        <w:t>Companion Volume Implementation Guides are found in</w:t>
      </w:r>
      <w:r w:rsidRPr="00BF76DB">
        <w:t xml:space="preserve">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F34E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76DB" w:rsidP="00BF76DB"/>
    <w:sectPr w:rsidSect="00BF7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B" w:rsidRPr="00583769" w:rsidP="00583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69" w:rsidP="00BF7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769" w:rsidP="00BF7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3769" w:rsidP="00BF7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6DB" w:rsidRPr="00583769" w:rsidP="00583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69" w:rsidRPr="002D2AF8" w:rsidP="00BF7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UETDRTS036 Develop secondary protection and control scheme isolation and restoration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83769" w:rsidP="00BF7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80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360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AA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6DB"/>
  </w:style>
  <w:style w:type="character" w:customStyle="1" w:styleId="Heading1Char">
    <w:name w:val="Heading 1 Char"/>
    <w:basedOn w:val="DefaultParagraphFont"/>
    <w:link w:val="Heading1"/>
    <w:rsid w:val="00BF7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6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76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7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7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76DB"/>
    <w:rPr>
      <w:b/>
      <w:spacing w:val="0"/>
    </w:rPr>
  </w:style>
  <w:style w:type="paragraph" w:customStyle="1" w:styleId="SuperTitle">
    <w:name w:val="SuperTitle"/>
    <w:basedOn w:val="Title"/>
    <w:rsid w:val="00BF7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6DB"/>
    <w:rPr>
      <w:i/>
    </w:rPr>
  </w:style>
  <w:style w:type="paragraph" w:styleId="Caption">
    <w:name w:val="caption"/>
    <w:basedOn w:val="BodyText"/>
    <w:next w:val="Normal"/>
    <w:qFormat/>
    <w:rsid w:val="00BF7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6DB"/>
  </w:style>
  <w:style w:type="paragraph" w:styleId="TableofFigures">
    <w:name w:val="table of figures"/>
    <w:basedOn w:val="Normal"/>
    <w:next w:val="Normal"/>
    <w:semiHidden/>
    <w:rsid w:val="00BF7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6DB"/>
    <w:rPr>
      <w:rFonts w:ascii="Wingdings" w:hAnsi="Wingdings"/>
    </w:rPr>
  </w:style>
  <w:style w:type="paragraph" w:customStyle="1" w:styleId="TableHeading">
    <w:name w:val="Table Heading"/>
    <w:basedOn w:val="HeadingBase"/>
    <w:rsid w:val="00BF7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6DB"/>
    <w:rPr>
      <w:color w:val="0033CC"/>
      <w:u w:val="none"/>
    </w:rPr>
  </w:style>
  <w:style w:type="paragraph" w:customStyle="1" w:styleId="BodyTextRight">
    <w:name w:val="Body Text Right"/>
    <w:basedOn w:val="BodyText"/>
    <w:rsid w:val="00BF7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6DB"/>
    <w:rPr>
      <w:sz w:val="32"/>
    </w:rPr>
  </w:style>
  <w:style w:type="paragraph" w:customStyle="1" w:styleId="HeadingProcedure">
    <w:name w:val="Heading Procedure"/>
    <w:basedOn w:val="HeadingBase"/>
    <w:next w:val="Normal"/>
    <w:rsid w:val="00BF7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6DB"/>
    <w:pPr>
      <w:spacing w:before="60" w:after="60"/>
    </w:pPr>
  </w:style>
  <w:style w:type="paragraph" w:styleId="ListContinue">
    <w:name w:val="List Continue"/>
    <w:basedOn w:val="List"/>
    <w:rsid w:val="00BF76DB"/>
    <w:pPr>
      <w:ind w:firstLine="0"/>
    </w:pPr>
  </w:style>
  <w:style w:type="paragraph" w:customStyle="1" w:styleId="ListNote">
    <w:name w:val="List Note"/>
    <w:basedOn w:val="List"/>
    <w:rsid w:val="00BF7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6DB"/>
    <w:rPr>
      <w:rFonts w:ascii="Courier New" w:hAnsi="Courier New"/>
    </w:rPr>
  </w:style>
  <w:style w:type="paragraph" w:customStyle="1" w:styleId="NoteBullet">
    <w:name w:val="Note Bullet"/>
    <w:basedOn w:val="Note"/>
    <w:rsid w:val="00BF7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6DB"/>
    <w:rPr>
      <w:b/>
      <w:smallCaps/>
    </w:rPr>
  </w:style>
  <w:style w:type="paragraph" w:customStyle="1" w:styleId="TableListNumber">
    <w:name w:val="Table List Number"/>
    <w:basedOn w:val="ListNumber"/>
    <w:rsid w:val="00BF7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6DB"/>
    <w:pPr>
      <w:numPr>
        <w:numId w:val="9"/>
      </w:numPr>
    </w:pPr>
  </w:style>
  <w:style w:type="paragraph" w:customStyle="1" w:styleId="ListAlpha2">
    <w:name w:val="List Alpha 2"/>
    <w:basedOn w:val="List2"/>
    <w:rsid w:val="00BF76DB"/>
    <w:pPr>
      <w:numPr>
        <w:numId w:val="8"/>
      </w:numPr>
    </w:pPr>
  </w:style>
  <w:style w:type="paragraph" w:styleId="List2">
    <w:name w:val="List 2"/>
    <w:basedOn w:val="BodyText"/>
    <w:rsid w:val="00BF7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6DB"/>
    <w:pPr>
      <w:numPr>
        <w:numId w:val="4"/>
      </w:numPr>
    </w:pPr>
  </w:style>
  <w:style w:type="paragraph" w:styleId="ListContinue2">
    <w:name w:val="List Continue 2"/>
    <w:basedOn w:val="List2"/>
    <w:rsid w:val="00BF76DB"/>
    <w:pPr>
      <w:ind w:firstLine="0"/>
    </w:pPr>
  </w:style>
  <w:style w:type="paragraph" w:styleId="ListContinue3">
    <w:name w:val="List Continue 3"/>
    <w:basedOn w:val="List3"/>
    <w:rsid w:val="00BF76DB"/>
    <w:pPr>
      <w:ind w:left="1021" w:firstLine="0"/>
    </w:pPr>
  </w:style>
  <w:style w:type="paragraph" w:styleId="ListContinue4">
    <w:name w:val="List Continue 4"/>
    <w:basedOn w:val="List4"/>
    <w:rsid w:val="00BF76DB"/>
    <w:pPr>
      <w:ind w:firstLine="0"/>
    </w:pPr>
  </w:style>
  <w:style w:type="paragraph" w:styleId="ListContinue5">
    <w:name w:val="List Continue 5"/>
    <w:basedOn w:val="List5"/>
    <w:rsid w:val="00BF76DB"/>
    <w:pPr>
      <w:ind w:firstLine="0"/>
    </w:pPr>
  </w:style>
  <w:style w:type="paragraph" w:styleId="ListNumber3">
    <w:name w:val="List Number 3"/>
    <w:basedOn w:val="List3"/>
    <w:rsid w:val="00BF76DB"/>
    <w:pPr>
      <w:numPr>
        <w:numId w:val="5"/>
      </w:numPr>
    </w:pPr>
  </w:style>
  <w:style w:type="paragraph" w:styleId="ListNumber4">
    <w:name w:val="List Number 4"/>
    <w:basedOn w:val="List4"/>
    <w:rsid w:val="00BF76DB"/>
    <w:pPr>
      <w:numPr>
        <w:numId w:val="6"/>
      </w:numPr>
    </w:pPr>
  </w:style>
  <w:style w:type="paragraph" w:styleId="ListNumber5">
    <w:name w:val="List Number 5"/>
    <w:basedOn w:val="List5"/>
    <w:rsid w:val="00BF76DB"/>
    <w:pPr>
      <w:numPr>
        <w:numId w:val="7"/>
      </w:numPr>
    </w:pPr>
  </w:style>
  <w:style w:type="paragraph" w:styleId="BlockText">
    <w:name w:val="Block Text"/>
    <w:basedOn w:val="Normal"/>
    <w:rsid w:val="00BF7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6DB"/>
    <w:rPr>
      <w:sz w:val="16"/>
      <w:vertAlign w:val="superscript"/>
    </w:rPr>
  </w:style>
  <w:style w:type="character" w:customStyle="1" w:styleId="Symbols">
    <w:name w:val="Symbols"/>
    <w:basedOn w:val="DefaultParagraphFont"/>
    <w:rsid w:val="00BF76DB"/>
    <w:rPr>
      <w:rFonts w:ascii="Symbol" w:hAnsi="Symbol"/>
    </w:rPr>
  </w:style>
  <w:style w:type="character" w:customStyle="1" w:styleId="MenuOptions">
    <w:name w:val="Menu Options"/>
    <w:basedOn w:val="DefaultParagraphFont"/>
    <w:rsid w:val="00BF7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6DB"/>
    <w:rPr>
      <w:b/>
    </w:rPr>
  </w:style>
  <w:style w:type="character" w:customStyle="1" w:styleId="Underlined">
    <w:name w:val="Underlined"/>
    <w:basedOn w:val="DefaultParagraphFont"/>
    <w:rsid w:val="00BF76DB"/>
    <w:rPr>
      <w:u w:val="single"/>
    </w:rPr>
  </w:style>
  <w:style w:type="paragraph" w:customStyle="1" w:styleId="TableBodyTextRight">
    <w:name w:val="Table Body Text Right"/>
    <w:basedOn w:val="TableBodyText"/>
    <w:rsid w:val="00BF7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6DB"/>
    <w:rPr>
      <w:sz w:val="18"/>
    </w:rPr>
  </w:style>
  <w:style w:type="paragraph" w:customStyle="1" w:styleId="BodySmallRight">
    <w:name w:val="Body Small Right"/>
    <w:basedOn w:val="BodyTextRight"/>
    <w:rsid w:val="00BF76DB"/>
    <w:rPr>
      <w:sz w:val="18"/>
      <w:szCs w:val="18"/>
    </w:rPr>
  </w:style>
  <w:style w:type="paragraph" w:customStyle="1" w:styleId="MarginEdition">
    <w:name w:val="Margin Edition"/>
    <w:basedOn w:val="MarginNote"/>
    <w:rsid w:val="00BF7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6DB"/>
    <w:rPr>
      <w:sz w:val="2"/>
      <w:szCs w:val="2"/>
    </w:rPr>
  </w:style>
  <w:style w:type="character" w:customStyle="1" w:styleId="Small">
    <w:name w:val="Small"/>
    <w:basedOn w:val="DefaultParagraphFont"/>
    <w:rsid w:val="00BF76DB"/>
    <w:rPr>
      <w:sz w:val="16"/>
    </w:rPr>
  </w:style>
  <w:style w:type="paragraph" w:customStyle="1" w:styleId="WideTable">
    <w:name w:val="Wide Table"/>
    <w:basedOn w:val="Normal"/>
    <w:rsid w:val="00BF7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6DB"/>
  </w:style>
  <w:style w:type="paragraph" w:styleId="Quote">
    <w:name w:val="Quote"/>
    <w:basedOn w:val="Heading1"/>
    <w:link w:val="QuoteChar"/>
    <w:qFormat/>
    <w:rsid w:val="00BF7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6DB"/>
    <w:pPr>
      <w:pageBreakBefore/>
    </w:pPr>
  </w:style>
  <w:style w:type="paragraph" w:customStyle="1" w:styleId="Border">
    <w:name w:val="Border"/>
    <w:basedOn w:val="Normal"/>
    <w:qFormat/>
    <w:rsid w:val="00BF7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6DB"/>
    <w:rPr>
      <w:u w:val="single"/>
    </w:rPr>
  </w:style>
  <w:style w:type="character" w:customStyle="1" w:styleId="BoldandItalics">
    <w:name w:val="Bold and Italics"/>
    <w:qFormat/>
    <w:rsid w:val="00BF76DB"/>
    <w:rPr>
      <w:b/>
      <w:i/>
      <w:u w:val="none"/>
    </w:rPr>
  </w:style>
  <w:style w:type="paragraph" w:styleId="BalloonText">
    <w:name w:val="Balloon Text"/>
    <w:basedOn w:val="Normal"/>
    <w:link w:val="BalloonTextChar"/>
    <w:rsid w:val="00BF7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6DB"/>
    <w:pPr>
      <w:spacing w:before="0" w:after="0"/>
    </w:pPr>
  </w:style>
  <w:style w:type="paragraph" w:customStyle="1" w:styleId="BodyTextBold">
    <w:name w:val="Body Text Bold"/>
    <w:basedOn w:val="BodyText"/>
    <w:qFormat/>
    <w:rsid w:val="00BF76DB"/>
    <w:rPr>
      <w:b/>
    </w:rPr>
  </w:style>
  <w:style w:type="character" w:styleId="Hyperlink">
    <w:name w:val="Hyperlink"/>
    <w:basedOn w:val="DefaultParagraphFont"/>
    <w:uiPriority w:val="99"/>
    <w:unhideWhenUsed/>
    <w:rsid w:val="00583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3657</Characters>
  <Application>Microsoft Office Word</Application>
  <DocSecurity>0</DocSecurity>
  <Lines>91</Lines>
  <Paragraphs>64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UETDRTS036 Develop secondary protection and control scheme isolation and restoration documents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