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6C0" w:rsidP="000656C0">
      <w:pPr>
        <w:pStyle w:val="Title"/>
      </w:pPr>
      <w:r>
        <w:fldChar w:fldCharType="begin"/>
      </w:r>
      <w:r>
        <w:instrText xml:space="preserve"> TITLE   \* MERGEFORMAT </w:instrText>
      </w:r>
      <w:r>
        <w:fldChar w:fldCharType="separate"/>
      </w:r>
      <w:r>
        <w:t>UETDRTS034 Commission and maintain voltage regulating equipment</w:t>
      </w:r>
      <w:r>
        <w:fldChar w:fldCharType="end"/>
      </w:r>
    </w:p>
    <w:p w:rsidR="000656C0" w:rsidP="000656C0">
      <w:pPr>
        <w:pStyle w:val="Version"/>
        <w:sectPr w:rsidSect="00947A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A62" w:rsidP="00947A62">
      <w:pPr>
        <w:pStyle w:val="SuperHeading"/>
      </w:pPr>
      <w:r w:rsidRPr="00947A62">
        <w:t>UETDRTS034 Commission and maintain voltage regulating equipment</w:t>
      </w:r>
    </w:p>
    <w:p w:rsidR="00000000" w:rsidRPr="00947A62" w:rsidP="00947A62">
      <w:pPr>
        <w:pStyle w:val="Heading1"/>
      </w:pPr>
      <w:bookmarkStart w:id="1" w:name="O_1237776"/>
      <w:bookmarkEnd w:id="1"/>
      <w:r w:rsidRPr="00947A62">
        <w:t>Modification History</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Release 1. This is the first release of this unit of competency in the UET Transmission, Distribution and Rail Sector Training Package Release 4.0.</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2" w:name="O_1237777"/>
      <w:bookmarkEnd w:id="2"/>
      <w:r w:rsidRPr="00947A62">
        <w:t>Application</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This unit includes the skills and knowledge required to commission and maintain voltage regulating equipment in the electricity supply industry (ESI).</w:t>
            </w:r>
          </w:p>
          <w:p w:rsidR="00000000" w:rsidRPr="00947A62" w:rsidP="00947A62">
            <w:pPr>
              <w:pStyle w:val="BodyText"/>
            </w:pPr>
            <w:r w:rsidRPr="00947A62">
              <w:t>It includes isolating and restoring, monitoring, repairing, setting, testin</w:t>
            </w:r>
            <w:r w:rsidRPr="00947A62">
              <w:t>g and functional checks of all types of voltage regulating equipment.</w:t>
            </w:r>
          </w:p>
          <w:p w:rsidR="00000000" w:rsidRPr="00947A62" w:rsidP="00947A62">
            <w:pPr>
              <w:pStyle w:val="BodyText"/>
            </w:pPr>
            <w:r w:rsidRPr="00947A62">
              <w:t>The application of the skills and knowledge described in this unit may require a licence/registration to practice in the workplace.</w:t>
            </w:r>
          </w:p>
          <w:p w:rsidR="00000000" w:rsidRPr="00947A62" w:rsidP="00947A62">
            <w:pPr>
              <w:pStyle w:val="BodyText"/>
            </w:pPr>
            <w:r w:rsidRPr="00947A62">
              <w:t>Other conditions may also apply under state and territ</w:t>
            </w:r>
            <w:r w:rsidRPr="00947A62">
              <w:t>ory legislative and regulatory licensing requirements which must be confirmed prior to commencing this unit.</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3" w:name="O_1237778"/>
      <w:bookmarkEnd w:id="3"/>
      <w:r w:rsidRPr="00947A62">
        <w:t>Pre-requisite Unit</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 xml:space="preserve">UEECD0007 Apply work health and safety regulations, codes and practices in the workplace </w:t>
            </w:r>
          </w:p>
          <w:p w:rsidR="00000000" w:rsidRPr="00947A62" w:rsidP="00947A62">
            <w:pPr>
              <w:pStyle w:val="BodyText"/>
            </w:pPr>
            <w:r w:rsidRPr="00947A62">
              <w:t>UEECD0010 Compile</w:t>
            </w:r>
            <w:r w:rsidRPr="00947A62">
              <w:t xml:space="preserve"> and produce an energy sector detailed report</w:t>
            </w:r>
          </w:p>
          <w:p w:rsidR="00000000" w:rsidRPr="00947A62" w:rsidP="00947A62">
            <w:pPr>
              <w:pStyle w:val="BodyText"/>
            </w:pPr>
            <w:r w:rsidRPr="00947A62">
              <w:t xml:space="preserve">UEECD0019 Fabricate, assemble and dismantle utilities industry components </w:t>
            </w:r>
          </w:p>
          <w:p w:rsidR="00000000" w:rsidRPr="00947A62" w:rsidP="00947A62">
            <w:pPr>
              <w:pStyle w:val="BodyText"/>
            </w:pPr>
            <w:r w:rsidRPr="00947A62">
              <w:t>UEECD0044 Solve problems in multiple path circuits</w:t>
            </w:r>
          </w:p>
          <w:p w:rsidR="00000000" w:rsidRPr="00947A62" w:rsidP="00947A62">
            <w:pPr>
              <w:pStyle w:val="BodyText"/>
            </w:pPr>
            <w:r w:rsidRPr="00947A62">
              <w:t>UEECD0046 Solve problems in single path circuits</w:t>
            </w:r>
          </w:p>
          <w:p w:rsidR="00000000" w:rsidRPr="00947A62" w:rsidP="00947A62">
            <w:pPr>
              <w:pStyle w:val="BodyText"/>
            </w:pPr>
            <w:r w:rsidRPr="00947A62">
              <w:t>UEECD0051 Use drawings, diagrams, s</w:t>
            </w:r>
            <w:r w:rsidRPr="00947A62">
              <w:t xml:space="preserve">chedules, standards, codes and specifications </w:t>
            </w:r>
          </w:p>
          <w:p w:rsidR="00000000" w:rsidRPr="00947A62" w:rsidP="00947A62">
            <w:pPr>
              <w:pStyle w:val="BodyText"/>
            </w:pPr>
            <w:r w:rsidRPr="00947A62">
              <w:t xml:space="preserve">UEEEL0020 Solve problems in low voltage a.c. circuits </w:t>
            </w:r>
          </w:p>
          <w:p w:rsidR="00000000" w:rsidRPr="00947A62" w:rsidP="00947A62">
            <w:pPr>
              <w:pStyle w:val="BodyText"/>
            </w:pPr>
            <w:r w:rsidRPr="00947A62">
              <w:t>UEEEL0021 Solve problems in magnetic and electromagnetic devices</w:t>
            </w:r>
          </w:p>
          <w:p w:rsidR="00000000" w:rsidRPr="00947A62" w:rsidP="00947A62">
            <w:pPr>
              <w:pStyle w:val="BodyText"/>
            </w:pPr>
            <w:r w:rsidRPr="00947A62">
              <w:t>UETDREL005 Work safely in the vicinity of live electrical apparatus</w:t>
            </w:r>
          </w:p>
          <w:p w:rsidR="00000000" w:rsidRPr="00947A62" w:rsidP="00947A62">
            <w:pPr>
              <w:pStyle w:val="BodyText"/>
            </w:pPr>
            <w:r w:rsidRPr="00947A62">
              <w:t>UETDRTS036 Develop secondary protection and control scheme isolation and restoration documents</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4" w:name="O_1237779"/>
      <w:bookmarkEnd w:id="4"/>
      <w:r w:rsidRPr="00947A62">
        <w:t>Competency Field</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Testing</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5" w:name="O_1237780"/>
      <w:bookmarkEnd w:id="5"/>
      <w:r w:rsidRPr="00947A62">
        <w:t>Unit Sector</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Not applicable.</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6" w:name="O_1237781"/>
      <w:bookmarkEnd w:id="6"/>
      <w:r w:rsidRPr="00947A6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47A6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P</w:t>
            </w:r>
            <w:r w:rsidRPr="00947A62">
              <w:rPr>
                <w:rStyle w:val="SpecialBold"/>
              </w:rPr>
              <w:t>ERFORMANCE CRITERIA</w:t>
            </w:r>
          </w:p>
        </w:tc>
      </w:tr>
      <w:tr w:rsidTr="00947A6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Performance criteria describe the performance needed to demonstrate achievement of the element.</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Prepare to commission and maintain voltage regulating equipment</w:t>
            </w: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Workplace organisational requirements for the commissioning and maintaining of voltage regulating equipment are reviewed and determined</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Purpose of the commissioning and maintaining of voltage regulating equipment is established</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Testing procedures are discussed and reviewed with appropriate personnel</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Testing parameters are established from workplace organisational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 xml:space="preserve">Tools, equipment and personal protective equipment (PPE) required for work are determined, </w:t>
            </w:r>
            <w:r w:rsidRPr="00947A62">
              <w:t>obtained and confirmed in working order</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Work is prioritised and sequenced for completion in accordance with workplace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Relevant stakeholders are identified and liaised with</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Hazards are identified, risks assessed, and control measures identified</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Work permits are organised in accordance with workplace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Commission and maintain voltage regulating equipment</w:t>
            </w: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Relevant stakeholder liaison and work permits ar</w:t>
            </w:r>
            <w:r w:rsidRPr="00947A62">
              <w:t>e applied</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Manual handling and use of tools, equipment and PPE are carried out in accordance with workplace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Hazard control measures are applied and monitored in accordance with workplace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Voltage regulating equipment is commissioned and maintained in accordance with workplace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Solutions to non-routine problems are identified and actioned</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Quality checks of work are undertaken in accordance with workplace requirement</w:t>
            </w:r>
            <w:r w:rsidRPr="00947A62">
              <w: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Completed work is checked for compliance against workplace requirements</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Relevant stakeholders are notified of completion and reports and/or completion documents are finalised</w:t>
            </w:r>
          </w:p>
        </w:tc>
      </w:tr>
      <w:tr w:rsidTr="00947A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47A6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Evidence of testing documentation is completed in accordance with workplace requirements</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7" w:name="O_1237782"/>
      <w:bookmarkEnd w:id="7"/>
      <w:r w:rsidRPr="00947A62">
        <w:t>Foundation Skills</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Foundation skills essential to performance are explicit in the performance criteria of this unit of competency.</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8" w:name="O_1237783"/>
      <w:bookmarkEnd w:id="8"/>
      <w:r w:rsidRPr="00947A62">
        <w:t>Range of Conditions</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Range is restricted to essential operating conditions and any other variables essential to the work environment.</w:t>
            </w:r>
          </w:p>
          <w:p w:rsidR="00000000" w:rsidRPr="00947A62" w:rsidP="00947A62">
            <w:pPr>
              <w:pStyle w:val="BodyText"/>
            </w:pPr>
            <w:r w:rsidRPr="00947A62">
              <w:t>Non-essential conditions may be found in the UET Transmission, Distribution and Rail Sector Training Package Compa</w:t>
            </w:r>
            <w:r w:rsidRPr="00947A62">
              <w:t>nion Volume Implementation Guide.</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9" w:name="O_1237784"/>
      <w:bookmarkEnd w:id="9"/>
      <w:r w:rsidRPr="00947A62">
        <w:t>Unit Mapping Information</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This unit replaces and is not equivalent to UETDRTS018 Maintain, test and commission power systems voltage regulating equipment.</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10" w:name="O_1237791"/>
      <w:bookmarkEnd w:id="10"/>
      <w:r w:rsidRPr="00947A62">
        <w:t>Links</w:t>
      </w:r>
    </w:p>
    <w:p w:rsidR="00000000" w:rsidRPr="00947A62" w:rsidP="000656C0">
      <w:pPr>
        <w:pStyle w:val="BodyText"/>
      </w:pPr>
      <w:r w:rsidRPr="00947A62">
        <w:t>Companion Volume Imp</w:t>
      </w:r>
      <w:r w:rsidRPr="00947A62">
        <w:t xml:space="preserve">lementation Guides are found in VETNet - </w:t>
      </w:r>
      <w:r>
        <w:fldChar w:fldCharType="begin"/>
      </w:r>
      <w:r>
        <w:instrText xml:space="preserve"> HYPERLINK "https://vetnet.gov.au/Pages/TrainingDocs.aspx?q=229bace1-b7bc-4653-9300-dffb13ecfad7" </w:instrText>
      </w:r>
      <w:r>
        <w:fldChar w:fldCharType="separate"/>
      </w:r>
      <w:r w:rsidRPr="00520A50">
        <w:rPr>
          <w:rStyle w:val="Hyperlink"/>
        </w:rPr>
        <w:t>https://vetnet.gov.au/Pages/TrainingDocs.aspx?q=229bace1-b7bc-4653-9300-dffb13ecfad7</w:t>
      </w:r>
      <w:r>
        <w:fldChar w:fldCharType="end"/>
      </w:r>
    </w:p>
    <w:p w:rsidR="00000000" w:rsidRPr="00947A62" w:rsidP="000656C0">
      <w:pPr>
        <w:pStyle w:val="BodyText"/>
        <w:sectPr w:rsidSect="00947A62">
          <w:headerReference w:type="default" r:id="rId10"/>
          <w:footerReference w:type="default" r:id="rId11"/>
          <w:pgSz w:w="11908" w:h="16833"/>
          <w:pgMar w:top="1702" w:right="1418" w:bottom="1702" w:left="1418" w:header="992" w:footer="992" w:gutter="0"/>
          <w:cols w:space="720"/>
          <w:noEndnote/>
          <w:docGrid w:linePitch="299"/>
        </w:sectPr>
      </w:pPr>
    </w:p>
    <w:p w:rsidR="00000000" w:rsidRPr="00947A62" w:rsidP="00947A62">
      <w:pPr>
        <w:pStyle w:val="SuperHeading"/>
      </w:pPr>
      <w:r w:rsidRPr="00947A62">
        <w:t>Assessment Requirements for UETDRTS034 Commission and maintain voltage regulating e</w:t>
      </w:r>
      <w:r w:rsidRPr="00947A62">
        <w:t>quipment</w:t>
      </w:r>
    </w:p>
    <w:p w:rsidR="00000000" w:rsidRPr="00947A62" w:rsidP="00947A62">
      <w:pPr>
        <w:pStyle w:val="Heading1"/>
      </w:pPr>
      <w:bookmarkStart w:id="11" w:name="O_1237786"/>
      <w:bookmarkEnd w:id="11"/>
      <w:r w:rsidRPr="00947A62">
        <w:t>Modification History</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Release 1. This is the first release of this unit of competency in the UET Transmission, Distribution and Rail Sector Training Package Release 4.0.</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12" w:name="O_1237787"/>
      <w:bookmarkEnd w:id="12"/>
      <w:r w:rsidRPr="00947A62">
        <w:t>Performance Evidence</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Evidence required to demonstrate competence in this unit must be relevant to and satisfy all of the requirements of the elements and performance criteria on at least two (2) separate occasions and include:</w:t>
            </w:r>
          </w:p>
        </w:tc>
      </w:tr>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ListBullet"/>
            </w:pPr>
            <w:r w:rsidRPr="00947A62">
              <w:t>identifying hazards, assessing risks, and identi</w:t>
            </w:r>
            <w:r w:rsidRPr="00947A62">
              <w:t>fying, applying and monitoring control measures</w:t>
            </w:r>
          </w:p>
          <w:p w:rsidR="00000000" w:rsidRPr="00947A62" w:rsidP="00947A62">
            <w:pPr>
              <w:pStyle w:val="ListBullet"/>
            </w:pPr>
            <w:r w:rsidRPr="00947A62">
              <w:t>determining the preparation required for the commissioning and maintenance of voltage regulating equipment, including:</w:t>
            </w:r>
          </w:p>
          <w:p w:rsidR="00000000" w:rsidRPr="00947A62" w:rsidP="00947A62">
            <w:pPr>
              <w:pStyle w:val="ListBullet2"/>
            </w:pPr>
            <w:r w:rsidRPr="00947A62">
              <w:t>workplace organisational requirements</w:t>
            </w:r>
          </w:p>
          <w:p w:rsidR="00000000" w:rsidRPr="00947A62" w:rsidP="00947A62">
            <w:pPr>
              <w:pStyle w:val="ListBullet2"/>
            </w:pPr>
            <w:r w:rsidRPr="00947A62">
              <w:t>testing procedures and parameters</w:t>
            </w:r>
          </w:p>
          <w:p w:rsidR="00000000" w:rsidRPr="00947A62" w:rsidP="00947A62">
            <w:pPr>
              <w:pStyle w:val="ListBullet2"/>
            </w:pPr>
            <w:r w:rsidRPr="00947A62">
              <w:t>tools, equipment, personal protective equipment (PPE) and work permits</w:t>
            </w:r>
          </w:p>
          <w:p w:rsidR="00000000" w:rsidRPr="00947A62" w:rsidP="00947A62">
            <w:pPr>
              <w:pStyle w:val="ListBullet2"/>
            </w:pPr>
            <w:r w:rsidRPr="00947A62">
              <w:t>stakeholder liaison</w:t>
            </w:r>
          </w:p>
          <w:p w:rsidR="00000000" w:rsidRPr="00947A62" w:rsidP="00947A62">
            <w:pPr>
              <w:pStyle w:val="ListBullet"/>
            </w:pPr>
            <w:r w:rsidRPr="00947A62">
              <w:t>inspecting and using relevant tools, equipment and PPE</w:t>
            </w:r>
          </w:p>
          <w:p w:rsidR="00000000" w:rsidRPr="00947A62" w:rsidP="00947A62">
            <w:pPr>
              <w:pStyle w:val="ListBullet"/>
            </w:pPr>
            <w:r w:rsidRPr="00947A62">
              <w:t>establishing the purpose of the commissioning and maintenance of voltage regulating equipment</w:t>
            </w:r>
          </w:p>
          <w:p w:rsidR="00000000" w:rsidRPr="00947A62" w:rsidP="00947A62">
            <w:pPr>
              <w:pStyle w:val="ListBullet"/>
            </w:pPr>
            <w:r w:rsidRPr="00947A62">
              <w:t>testing and com</w:t>
            </w:r>
            <w:r w:rsidRPr="00947A62">
              <w:t>missioning on two (2) occasions all of the following equipment:</w:t>
            </w:r>
          </w:p>
          <w:p w:rsidR="00000000" w:rsidRPr="00947A62" w:rsidP="00947A62">
            <w:pPr>
              <w:pStyle w:val="ListBullet2"/>
            </w:pPr>
            <w:r w:rsidRPr="00947A62">
              <w:t>voltage regulator</w:t>
            </w:r>
          </w:p>
          <w:p w:rsidR="00000000" w:rsidRPr="00947A62" w:rsidP="00947A62">
            <w:pPr>
              <w:pStyle w:val="ListBullet2"/>
            </w:pPr>
            <w:r w:rsidRPr="00947A62">
              <w:t>reactance control</w:t>
            </w:r>
          </w:p>
          <w:p w:rsidR="00000000" w:rsidRPr="00947A62" w:rsidP="00947A62">
            <w:pPr>
              <w:pStyle w:val="ListBullet2"/>
            </w:pPr>
            <w:r w:rsidRPr="00947A62">
              <w:t>master slave control.</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13" w:name="O_1237788"/>
      <w:bookmarkEnd w:id="13"/>
      <w:r w:rsidRPr="00947A62">
        <w:t>Knowledge Evidence</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7A62">
            <w:pPr>
              <w:pStyle w:val="BodyText"/>
              <w:rPr>
                <w:lang w:val="en-NZ"/>
              </w:rPr>
            </w:pPr>
            <w:r w:rsidRPr="00947A62">
              <w:t>Evidence required to demonstrate competence in this unit must be relevant to and satisfy all of the requirements of the elements and performance criteria and include knowledge of:</w:t>
            </w:r>
          </w:p>
        </w:tc>
      </w:tr>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ListBullet"/>
            </w:pPr>
            <w:r w:rsidRPr="00947A62">
              <w:t>voltage regulating equipment, including:</w:t>
            </w:r>
          </w:p>
          <w:p w:rsidR="00000000" w:rsidRPr="00947A62" w:rsidP="00947A62">
            <w:pPr>
              <w:pStyle w:val="ListBullet2"/>
            </w:pPr>
            <w:r w:rsidRPr="00947A62">
              <w:t>types and applications</w:t>
            </w:r>
          </w:p>
          <w:p w:rsidR="00000000" w:rsidRPr="00947A62" w:rsidP="00947A62">
            <w:pPr>
              <w:pStyle w:val="ListBullet2"/>
            </w:pPr>
            <w:r w:rsidRPr="00947A62">
              <w:t>characteristics and capabilities</w:t>
            </w:r>
          </w:p>
          <w:p w:rsidR="00000000" w:rsidRPr="00947A62" w:rsidP="00947A62">
            <w:pPr>
              <w:pStyle w:val="ListBullet2"/>
            </w:pPr>
            <w:r w:rsidRPr="00947A62">
              <w:t>diagrams and operation manuals</w:t>
            </w:r>
          </w:p>
          <w:p w:rsidR="00000000" w:rsidRPr="00947A62" w:rsidP="00947A62">
            <w:pPr>
              <w:pStyle w:val="ListBullet"/>
            </w:pPr>
            <w:r w:rsidRPr="00947A62">
              <w:t>testing techniques and procedures</w:t>
            </w:r>
          </w:p>
          <w:p w:rsidR="00000000" w:rsidRPr="00947A62" w:rsidP="00947A62">
            <w:pPr>
              <w:pStyle w:val="ListBullet"/>
            </w:pPr>
            <w:r w:rsidRPr="00947A62">
              <w:t>types and applications of test equipment</w:t>
            </w:r>
          </w:p>
          <w:p w:rsidR="00000000" w:rsidRPr="00947A62" w:rsidP="00947A62">
            <w:pPr>
              <w:pStyle w:val="ListBullet"/>
            </w:pPr>
            <w:r w:rsidRPr="00947A62">
              <w:t>operation, maintenance and commissioning procedures for voltage regulating equipment</w:t>
            </w:r>
          </w:p>
          <w:p w:rsidR="00000000" w:rsidRPr="00947A62" w:rsidP="00947A62">
            <w:pPr>
              <w:pStyle w:val="ListBullet"/>
            </w:pPr>
            <w:r w:rsidRPr="00947A62">
              <w:t>principles of:</w:t>
            </w:r>
          </w:p>
          <w:p w:rsidR="00000000" w:rsidRPr="00947A62" w:rsidP="00947A62">
            <w:pPr>
              <w:pStyle w:val="ListBullet2"/>
            </w:pPr>
            <w:r w:rsidRPr="00947A62">
              <w:t>voltage regulat</w:t>
            </w:r>
            <w:r w:rsidRPr="00947A62">
              <w:t>or on-load tap changers (OLTC)</w:t>
            </w:r>
          </w:p>
          <w:p w:rsidR="00000000" w:rsidRPr="00947A62" w:rsidP="00947A62">
            <w:pPr>
              <w:pStyle w:val="ListBullet2"/>
            </w:pPr>
            <w:r w:rsidRPr="00947A62">
              <w:t>synchronous condensers</w:t>
            </w:r>
          </w:p>
          <w:p w:rsidR="00000000" w:rsidRPr="00947A62" w:rsidP="00947A62">
            <w:pPr>
              <w:pStyle w:val="ListBullet2"/>
            </w:pPr>
            <w:r w:rsidRPr="00947A62">
              <w:t>voltage control techniques and devices.</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14" w:name="O_1237789"/>
      <w:bookmarkEnd w:id="14"/>
      <w:r w:rsidRPr="00947A62">
        <w:t>Assessment Conditions</w:t>
      </w:r>
    </w:p>
    <w:tbl>
      <w:tblPr>
        <w:tblW w:w="9497" w:type="dxa"/>
        <w:tblLayout w:type="fixed"/>
        <w:tblCellMar>
          <w:left w:w="62" w:type="dxa"/>
          <w:right w:w="62" w:type="dxa"/>
        </w:tblCellMar>
        <w:tblLook w:val="0000"/>
      </w:tblPr>
      <w:tblGrid>
        <w:gridCol w:w="9497"/>
      </w:tblGrid>
      <w:tr w:rsidTr="00947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A62" w:rsidP="00947A62">
            <w:pPr>
              <w:pStyle w:val="BodyText"/>
            </w:pPr>
            <w:r w:rsidRPr="00947A62">
              <w:t>Assessors must hold credentials specified within the Standards for Registered Training Organisations current at the time of assessment.</w:t>
            </w:r>
          </w:p>
          <w:p w:rsidR="00000000" w:rsidRPr="00947A62" w:rsidP="00947A62">
            <w:pPr>
              <w:pStyle w:val="BodyText"/>
            </w:pPr>
            <w:r w:rsidRPr="00947A62">
              <w:t>Assessment must satisfy the Principles of Assessment and Rules of Evidence and all regulatory requirements included with</w:t>
            </w:r>
            <w:r w:rsidRPr="00947A62">
              <w:t>in the Standards for Registered Training Organisations current at the time of assessment.</w:t>
            </w:r>
          </w:p>
          <w:p w:rsidR="00000000" w:rsidRPr="00947A62" w:rsidP="00947A62">
            <w:pPr>
              <w:pStyle w:val="BodyText"/>
            </w:pPr>
            <w:r w:rsidRPr="00947A62">
              <w:t>Assessment must occur in workplace operational situations where it is appropriate to do so.</w:t>
            </w:r>
          </w:p>
          <w:p w:rsidR="00000000" w:rsidRPr="00947A62" w:rsidP="00947A62">
            <w:pPr>
              <w:pStyle w:val="BodyText"/>
            </w:pPr>
            <w:r w:rsidRPr="00947A62">
              <w:t>Where this is not appropriate, assessment must occur in simulated conditio</w:t>
            </w:r>
            <w:r w:rsidRPr="00947A62">
              <w:t>ns involving realistic and authentic activities that replicate operational workplace conditions.</w:t>
            </w:r>
          </w:p>
          <w:p w:rsidR="00000000" w:rsidRPr="00947A62" w:rsidP="00947A62">
            <w:pPr>
              <w:pStyle w:val="BodyText"/>
            </w:pPr>
            <w:r w:rsidRPr="00947A62">
              <w:t>Assessment processes and techniques must be appropriate to the language, literacy and numeracy requirements of the work being performed and the needs of the ca</w:t>
            </w:r>
            <w:r w:rsidRPr="00947A62">
              <w:t>ndidate.</w:t>
            </w:r>
          </w:p>
          <w:p w:rsidR="00000000" w:rsidRPr="00947A62" w:rsidP="00947A62">
            <w:pPr>
              <w:pStyle w:val="BodyText"/>
            </w:pPr>
            <w:r w:rsidRPr="00947A62">
              <w:t>Resources for assessment must include access to:</w:t>
            </w:r>
          </w:p>
          <w:p w:rsidR="00000000" w:rsidRPr="00947A62" w:rsidP="00947A62">
            <w:pPr>
              <w:pStyle w:val="ListBullet"/>
            </w:pPr>
            <w:r w:rsidRPr="00947A62">
              <w:t>relevant and appropriate tools, equipment and PPE currently used in industry</w:t>
            </w:r>
          </w:p>
          <w:p w:rsidR="00000000" w:rsidRPr="00947A62" w:rsidP="00947A62">
            <w:pPr>
              <w:pStyle w:val="ListBullet"/>
            </w:pPr>
            <w:r w:rsidRPr="00947A62">
              <w:t>applicable documentation, including workplace requirements, relevant industry standards, equipment specifications, regul</w:t>
            </w:r>
            <w:r w:rsidRPr="00947A62">
              <w:t>ations, codes of practice and operation manuals.</w:t>
            </w:r>
          </w:p>
        </w:tc>
      </w:tr>
    </w:tbl>
    <w:p w:rsidR="00000000" w:rsidRPr="00947A62" w:rsidP="00947A62">
      <w:pPr>
        <w:pStyle w:val="NoPaddingFontSize1"/>
      </w:pPr>
    </w:p>
    <w:p w:rsidR="00000000" w:rsidRPr="00947A62" w:rsidP="00947A62">
      <w:pPr>
        <w:pStyle w:val="AllowPageBreak"/>
      </w:pPr>
    </w:p>
    <w:p w:rsidR="00000000" w:rsidRPr="00947A62" w:rsidP="00947A62">
      <w:pPr>
        <w:pStyle w:val="Heading1"/>
      </w:pPr>
      <w:bookmarkStart w:id="15" w:name="O_1237792"/>
      <w:bookmarkEnd w:id="15"/>
      <w:r w:rsidRPr="00947A62">
        <w:t>Links</w:t>
      </w:r>
    </w:p>
    <w:p w:rsidR="00000000" w:rsidRPr="00947A62" w:rsidP="000656C0">
      <w:pPr>
        <w:pStyle w:val="BodyText"/>
      </w:pPr>
      <w:r w:rsidRPr="00947A6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20A50">
        <w:rPr>
          <w:rStyle w:val="Hyperlink"/>
        </w:rPr>
        <w:t>https://vetnet.gov.au/Pages/TrainingDocs.aspx?q=229bace1-b7bc-4653-9300-dffb13ecfad7</w:t>
      </w:r>
      <w:r>
        <w:fldChar w:fldCharType="end"/>
      </w:r>
    </w:p>
    <w:p w:rsidR="00000000" w:rsidRPr="00947A62" w:rsidP="00947A62"/>
    <w:sectPr w:rsidSect="00947A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rsidRPr="000656C0" w:rsidP="00065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C0" w:rsidP="00947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56C0" w:rsidP="00947A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656C0" w:rsidP="00947A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rsidP="00947A62">
    <w:pPr>
      <w:pStyle w:val="Footer"/>
      <w:framePr w:wrap="around"/>
    </w:pPr>
    <w:r>
      <w:fldChar w:fldCharType="begin"/>
    </w:r>
    <w:r>
      <w:instrText xml:space="preserve"> DOCPROPERTY  Subject  \* MERGEFORMAT </w:instrText>
    </w:r>
    <w:r>
      <w:fldChar w:fldCharType="separate"/>
    </w:r>
    <w:r w:rsidR="000656C0">
      <w:t>Approved</w:t>
    </w:r>
    <w:r w:rsidR="000656C0">
      <w:fldChar w:fldCharType="end"/>
    </w:r>
    <w:r>
      <w:tab/>
      <w:t xml:space="preserve">Page </w:t>
    </w:r>
    <w:r>
      <w:fldChar w:fldCharType="begin"/>
    </w:r>
    <w:r>
      <w:instrText xml:space="preserve"> PAGE  \* Arabic  \* MERGEFORMAT </w:instrText>
    </w:r>
    <w:r>
      <w:fldChar w:fldCharType="separate"/>
    </w:r>
    <w:r w:rsidR="000656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56C0">
      <w:rPr>
        <w:noProof/>
      </w:rPr>
      <w:t>4</w:t>
    </w:r>
    <w:r>
      <w:rPr>
        <w:noProof/>
      </w:rPr>
      <w:fldChar w:fldCharType="end"/>
    </w:r>
  </w:p>
  <w:p w:rsidR="00947A62" w:rsidP="00947A62">
    <w:pPr>
      <w:pStyle w:val="Footer"/>
      <w:framePr w:wrap="around"/>
    </w:pPr>
    <w:r>
      <w:t xml:space="preserve">© Commonwealth of Australia, </w:t>
    </w:r>
    <w:r>
      <w:fldChar w:fldCharType="begin"/>
    </w:r>
    <w:r>
      <w:instrText xml:space="preserve"> DATE  \@ "yyyy"  \* MERGEFORMAT </w:instrText>
    </w:r>
    <w:r>
      <w:fldChar w:fldCharType="separate"/>
    </w:r>
    <w:r w:rsidR="000656C0">
      <w:rPr>
        <w:noProof/>
      </w:rPr>
      <w:t>2025</w:t>
    </w:r>
    <w:r>
      <w:fldChar w:fldCharType="end"/>
    </w:r>
    <w:r>
      <w:tab/>
    </w:r>
    <w:r>
      <w:fldChar w:fldCharType="begin"/>
    </w:r>
    <w:r>
      <w:instrText xml:space="preserve"> DOCPROPERTY  Author  \* MERGEFORMAT </w:instrText>
    </w:r>
    <w:r>
      <w:fldChar w:fldCharType="separate"/>
    </w:r>
    <w:r w:rsidR="000656C0">
      <w:t>Powering Skills Organisation</w:t>
    </w:r>
    <w:r w:rsidR="000656C0">
      <w:fldChar w:fldCharType="end"/>
    </w:r>
  </w:p>
  <w:p w:rsidR="00947A62" w:rsidP="00947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A62" w:rsidRPr="000656C0" w:rsidP="000656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C0" w:rsidRPr="002D2AF8" w:rsidP="00947A62">
    <w:pPr>
      <w:pStyle w:val="Header"/>
      <w:framePr w:wrap="around"/>
    </w:pPr>
    <w:r>
      <w:fldChar w:fldCharType="begin"/>
    </w:r>
    <w:r>
      <w:instrText xml:space="preserve"> TITLE   \* MERGEFORMAT </w:instrText>
    </w:r>
    <w:r>
      <w:fldChar w:fldCharType="separate"/>
    </w:r>
    <w:r>
      <w:t>UETDRTS034 Commission and maintain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56C0" w:rsidP="00947A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rsidRPr="002D2AF8" w:rsidP="00947A62">
    <w:pPr>
      <w:pStyle w:val="Header"/>
      <w:framePr w:wrap="around"/>
    </w:pPr>
    <w:r>
      <w:fldChar w:fldCharType="begin"/>
    </w:r>
    <w:r>
      <w:instrText xml:space="preserve"> TITLE   \* MERGEFORMAT </w:instrText>
    </w:r>
    <w:r>
      <w:fldChar w:fldCharType="separate"/>
    </w:r>
    <w:r w:rsidR="000656C0">
      <w:t>UETDRTS034 Commission and maintain voltage regulating equipment</w:t>
    </w:r>
    <w:r w:rsidR="000656C0">
      <w:fldChar w:fldCharType="end"/>
    </w:r>
    <w:r>
      <w:tab/>
      <w:t xml:space="preserve">Date this document was generated: </w:t>
    </w:r>
    <w:r>
      <w:fldChar w:fldCharType="begin"/>
    </w:r>
    <w:r>
      <w:instrText xml:space="preserve"> CREATEDATE  \@ "d MMMM yyyy"  \* MERGEFORMAT </w:instrText>
    </w:r>
    <w:r>
      <w:fldChar w:fldCharType="separate"/>
    </w:r>
    <w:r w:rsidR="000656C0">
      <w:rPr>
        <w:noProof/>
      </w:rPr>
      <w:t>1 March 2025</w:t>
    </w:r>
    <w:r>
      <w:fldChar w:fldCharType="end"/>
    </w:r>
  </w:p>
  <w:p w:rsidR="00947A62" w:rsidP="00947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4C4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2D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6F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A62"/>
    <w:pPr>
      <w:spacing w:before="360" w:after="60"/>
      <w:outlineLvl w:val="0"/>
    </w:pPr>
    <w:rPr>
      <w:sz w:val="32"/>
    </w:rPr>
  </w:style>
  <w:style w:type="paragraph" w:styleId="Heading2">
    <w:name w:val="heading 2"/>
    <w:basedOn w:val="HeadingBase"/>
    <w:next w:val="BodyText"/>
    <w:link w:val="Heading2Char"/>
    <w:qFormat/>
    <w:rsid w:val="00947A62"/>
    <w:pPr>
      <w:keepLines/>
      <w:spacing w:before="240" w:after="120"/>
      <w:outlineLvl w:val="1"/>
    </w:pPr>
    <w:rPr>
      <w:sz w:val="28"/>
      <w:szCs w:val="40"/>
    </w:rPr>
  </w:style>
  <w:style w:type="paragraph" w:styleId="Heading3">
    <w:name w:val="heading 3"/>
    <w:basedOn w:val="HeadingBase"/>
    <w:next w:val="BodyText"/>
    <w:link w:val="Heading3Char"/>
    <w:qFormat/>
    <w:rsid w:val="00947A62"/>
    <w:pPr>
      <w:spacing w:before="180" w:after="120"/>
      <w:outlineLvl w:val="2"/>
    </w:pPr>
    <w:rPr>
      <w:spacing w:val="-10"/>
      <w:kern w:val="32"/>
    </w:rPr>
  </w:style>
  <w:style w:type="paragraph" w:styleId="Heading4">
    <w:name w:val="heading 4"/>
    <w:basedOn w:val="HeadingBase"/>
    <w:next w:val="BodyText"/>
    <w:link w:val="Heading4Char"/>
    <w:qFormat/>
    <w:rsid w:val="00947A62"/>
    <w:pPr>
      <w:spacing w:before="160" w:after="120"/>
      <w:outlineLvl w:val="3"/>
    </w:pPr>
    <w:rPr>
      <w:sz w:val="22"/>
    </w:rPr>
  </w:style>
  <w:style w:type="paragraph" w:styleId="Heading5">
    <w:name w:val="heading 5"/>
    <w:basedOn w:val="HeadingBase"/>
    <w:next w:val="Normal"/>
    <w:link w:val="Heading5Char"/>
    <w:qFormat/>
    <w:rsid w:val="00947A62"/>
    <w:pPr>
      <w:spacing w:before="80"/>
      <w:outlineLvl w:val="4"/>
    </w:pPr>
    <w:rPr>
      <w:color w:val="918585"/>
      <w:sz w:val="20"/>
    </w:rPr>
  </w:style>
  <w:style w:type="paragraph" w:styleId="Heading6">
    <w:name w:val="heading 6"/>
    <w:basedOn w:val="HeadingBase"/>
    <w:next w:val="Normal"/>
    <w:link w:val="Heading6Char"/>
    <w:qFormat/>
    <w:rsid w:val="00947A62"/>
    <w:pPr>
      <w:spacing w:before="60"/>
      <w:outlineLvl w:val="5"/>
    </w:pPr>
    <w:rPr>
      <w:color w:val="918585"/>
      <w:sz w:val="20"/>
    </w:rPr>
  </w:style>
  <w:style w:type="paragraph" w:styleId="Heading7">
    <w:name w:val="heading 7"/>
    <w:basedOn w:val="Normal"/>
    <w:next w:val="Normal"/>
    <w:link w:val="Heading7Char"/>
    <w:qFormat/>
    <w:rsid w:val="00947A62"/>
    <w:pPr>
      <w:ind w:left="720"/>
      <w:outlineLvl w:val="6"/>
    </w:pPr>
    <w:rPr>
      <w:i/>
    </w:rPr>
  </w:style>
  <w:style w:type="paragraph" w:styleId="Heading8">
    <w:name w:val="heading 8"/>
    <w:basedOn w:val="Normal"/>
    <w:next w:val="Normal"/>
    <w:link w:val="Heading8Char"/>
    <w:qFormat/>
    <w:rsid w:val="00947A62"/>
    <w:pPr>
      <w:ind w:left="720"/>
      <w:outlineLvl w:val="7"/>
    </w:pPr>
    <w:rPr>
      <w:i/>
    </w:rPr>
  </w:style>
  <w:style w:type="paragraph" w:styleId="Heading9">
    <w:name w:val="heading 9"/>
    <w:basedOn w:val="Normal"/>
    <w:next w:val="Normal"/>
    <w:link w:val="Heading9Char"/>
    <w:qFormat/>
    <w:rsid w:val="00947A62"/>
    <w:pPr>
      <w:ind w:left="720"/>
      <w:outlineLvl w:val="8"/>
    </w:pPr>
    <w:rPr>
      <w:i/>
    </w:rPr>
  </w:style>
  <w:style w:type="character" w:default="1" w:styleId="DefaultParagraphFont">
    <w:name w:val="Default Paragraph Font"/>
    <w:uiPriority w:val="1"/>
    <w:unhideWhenUsed/>
    <w:rsid w:val="00947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A62"/>
  </w:style>
  <w:style w:type="character" w:customStyle="1" w:styleId="Heading1Char">
    <w:name w:val="Heading 1 Char"/>
    <w:basedOn w:val="DefaultParagraphFont"/>
    <w:link w:val="Heading1"/>
    <w:rsid w:val="00947A62"/>
    <w:rPr>
      <w:rFonts w:ascii="Times New Roman" w:eastAsia="Times New Roman" w:hAnsi="Times New Roman" w:cs="Times New Roman"/>
      <w:b/>
      <w:sz w:val="32"/>
      <w:szCs w:val="20"/>
      <w:lang w:eastAsia="en-US"/>
    </w:rPr>
  </w:style>
  <w:style w:type="paragraph" w:styleId="BodyText">
    <w:name w:val="Body Text"/>
    <w:basedOn w:val="Normal"/>
    <w:link w:val="BodyTextChar"/>
    <w:rsid w:val="00947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A62"/>
    <w:rPr>
      <w:rFonts w:ascii="Times New Roman" w:eastAsia="Times New Roman" w:hAnsi="Times New Roman" w:cs="Times New Roman"/>
      <w:sz w:val="24"/>
      <w:lang w:eastAsia="en-US"/>
    </w:rPr>
  </w:style>
  <w:style w:type="paragraph" w:styleId="ListBullet">
    <w:name w:val="List Bullet"/>
    <w:basedOn w:val="List"/>
    <w:rsid w:val="00947A62"/>
    <w:pPr>
      <w:numPr>
        <w:numId w:val="12"/>
      </w:numPr>
      <w:tabs>
        <w:tab w:val="clear" w:pos="340"/>
      </w:tabs>
      <w:spacing w:before="40" w:after="40"/>
    </w:pPr>
  </w:style>
  <w:style w:type="character" w:customStyle="1" w:styleId="SpecialBold">
    <w:name w:val="Special Bold"/>
    <w:basedOn w:val="DefaultParagraphFont"/>
    <w:rsid w:val="00947A62"/>
    <w:rPr>
      <w:b/>
      <w:spacing w:val="0"/>
    </w:rPr>
  </w:style>
  <w:style w:type="paragraph" w:styleId="ListBullet2">
    <w:name w:val="List Bullet 2"/>
    <w:basedOn w:val="List2"/>
    <w:rsid w:val="00947A62"/>
    <w:pPr>
      <w:numPr>
        <w:numId w:val="13"/>
      </w:numPr>
      <w:tabs>
        <w:tab w:val="clear" w:pos="680"/>
      </w:tabs>
    </w:pPr>
  </w:style>
  <w:style w:type="paragraph" w:customStyle="1" w:styleId="SuperHeading">
    <w:name w:val="SuperHeading"/>
    <w:basedOn w:val="Normal"/>
    <w:rsid w:val="00947A62"/>
    <w:pPr>
      <w:spacing w:before="240" w:after="120"/>
      <w:outlineLvl w:val="0"/>
    </w:pPr>
    <w:rPr>
      <w:rFonts w:ascii="Times New Roman" w:hAnsi="Times New Roman"/>
      <w:b/>
      <w:sz w:val="32"/>
    </w:rPr>
  </w:style>
  <w:style w:type="paragraph" w:customStyle="1" w:styleId="AllowPageBreak">
    <w:name w:val="AllowPageBreak"/>
    <w:rsid w:val="00947A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7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A62"/>
    <w:rPr>
      <w:rFonts w:ascii="Courier New" w:eastAsia="Times New Roman" w:hAnsi="Courier New" w:cs="Times New Roman"/>
      <w:i/>
      <w:szCs w:val="20"/>
      <w:lang w:eastAsia="en-US"/>
    </w:rPr>
  </w:style>
  <w:style w:type="paragraph" w:customStyle="1" w:styleId="HeadingBase">
    <w:name w:val="Heading Base"/>
    <w:rsid w:val="00947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A62"/>
    <w:pPr>
      <w:tabs>
        <w:tab w:val="right" w:leader="dot" w:pos="9072"/>
      </w:tabs>
      <w:ind w:left="567"/>
    </w:pPr>
    <w:rPr>
      <w:szCs w:val="22"/>
    </w:rPr>
  </w:style>
  <w:style w:type="paragraph" w:customStyle="1" w:styleId="TOCBase">
    <w:name w:val="TOC Base"/>
    <w:rsid w:val="00947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A62"/>
    <w:pPr>
      <w:tabs>
        <w:tab w:val="right" w:leader="dot" w:pos="9072"/>
      </w:tabs>
      <w:spacing w:before="40" w:after="40"/>
      <w:ind w:left="284"/>
    </w:pPr>
    <w:rPr>
      <w:rFonts w:ascii="Times New Roman" w:hAnsi="Times New Roman"/>
    </w:rPr>
  </w:style>
  <w:style w:type="paragraph" w:styleId="TOC1">
    <w:name w:val="toc 1"/>
    <w:basedOn w:val="TOCBase"/>
    <w:next w:val="Normal"/>
    <w:rsid w:val="00947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A62"/>
    <w:rPr>
      <w:rFonts w:ascii="Times New Roman" w:eastAsia="Times New Roman" w:hAnsi="Times New Roman" w:cs="Times New Roman"/>
      <w:sz w:val="16"/>
      <w:lang w:eastAsia="en-US"/>
    </w:rPr>
  </w:style>
  <w:style w:type="paragraph" w:styleId="Title">
    <w:name w:val="Title"/>
    <w:basedOn w:val="HeadingBase"/>
    <w:link w:val="TitleChar"/>
    <w:qFormat/>
    <w:rsid w:val="00947A62"/>
    <w:pPr>
      <w:spacing w:before="5040"/>
      <w:jc w:val="center"/>
    </w:pPr>
    <w:rPr>
      <w:sz w:val="48"/>
      <w:szCs w:val="72"/>
      <w:lang w:val="en-US"/>
    </w:rPr>
  </w:style>
  <w:style w:type="character" w:customStyle="1" w:styleId="TitleChar">
    <w:name w:val="Title Char"/>
    <w:basedOn w:val="DefaultParagraphFont"/>
    <w:link w:val="Title"/>
    <w:rsid w:val="00947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A62"/>
    <w:pPr>
      <w:tabs>
        <w:tab w:val="left" w:pos="3600"/>
        <w:tab w:val="left" w:pos="3958"/>
      </w:tabs>
    </w:pPr>
  </w:style>
  <w:style w:type="paragraph" w:styleId="List">
    <w:name w:val="List"/>
    <w:basedOn w:val="BodyText"/>
    <w:next w:val="BodyText"/>
    <w:rsid w:val="00947A62"/>
    <w:pPr>
      <w:tabs>
        <w:tab w:val="left" w:pos="340"/>
      </w:tabs>
      <w:spacing w:before="60" w:after="60"/>
      <w:ind w:left="340" w:hanging="340"/>
    </w:pPr>
  </w:style>
  <w:style w:type="paragraph" w:customStyle="1" w:styleId="Note">
    <w:name w:val="Note"/>
    <w:basedOn w:val="BodyText"/>
    <w:rsid w:val="00947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A62"/>
    <w:pPr>
      <w:framePr w:wrap="auto" w:hAnchor="text" w:y="6049"/>
    </w:pPr>
    <w:rPr>
      <w:color w:val="000000"/>
      <w:sz w:val="40"/>
    </w:rPr>
  </w:style>
  <w:style w:type="paragraph" w:customStyle="1" w:styleId="TOCTitle">
    <w:name w:val="TOCTitle"/>
    <w:basedOn w:val="Heading1"/>
    <w:rsid w:val="00947A62"/>
    <w:pPr>
      <w:spacing w:after="240"/>
      <w:jc w:val="center"/>
      <w:outlineLvl w:val="9"/>
    </w:pPr>
    <w:rPr>
      <w:caps/>
    </w:rPr>
  </w:style>
  <w:style w:type="paragraph" w:customStyle="1" w:styleId="Version">
    <w:name w:val="Version"/>
    <w:rsid w:val="00947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A62"/>
    <w:pPr>
      <w:keepNext w:val="0"/>
      <w:tabs>
        <w:tab w:val="right" w:pos="4176"/>
      </w:tabs>
      <w:ind w:left="198" w:hanging="198"/>
    </w:pPr>
    <w:rPr>
      <w:rFonts w:ascii="Garamond" w:hAnsi="Garamond"/>
    </w:rPr>
  </w:style>
  <w:style w:type="paragraph" w:styleId="IndexHeading">
    <w:name w:val="index heading"/>
    <w:basedOn w:val="Normal"/>
    <w:next w:val="Index1"/>
    <w:semiHidden/>
    <w:rsid w:val="00947A62"/>
    <w:pPr>
      <w:spacing w:before="120" w:after="120"/>
    </w:pPr>
    <w:rPr>
      <w:rFonts w:ascii="Arial" w:hAnsi="Arial"/>
      <w:b/>
      <w:color w:val="918585"/>
      <w:sz w:val="24"/>
    </w:rPr>
  </w:style>
  <w:style w:type="paragraph" w:styleId="Header">
    <w:name w:val="header"/>
    <w:basedOn w:val="Normal"/>
    <w:link w:val="HeaderChar"/>
    <w:rsid w:val="00947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A62"/>
    <w:rPr>
      <w:rFonts w:ascii="Times New Roman" w:eastAsia="Times New Roman" w:hAnsi="Times New Roman" w:cs="Times New Roman"/>
      <w:sz w:val="16"/>
      <w:szCs w:val="20"/>
      <w:lang w:val="en-GB" w:eastAsia="en-US"/>
    </w:rPr>
  </w:style>
  <w:style w:type="paragraph" w:customStyle="1" w:styleId="Chapter">
    <w:name w:val="Chapter"/>
    <w:basedOn w:val="Normal"/>
    <w:rsid w:val="00947A62"/>
    <w:pPr>
      <w:spacing w:before="240"/>
    </w:pPr>
    <w:rPr>
      <w:rFonts w:ascii="Times New Roman" w:hAnsi="Times New Roman"/>
      <w:smallCaps/>
      <w:spacing w:val="80"/>
      <w:sz w:val="28"/>
    </w:rPr>
  </w:style>
  <w:style w:type="paragraph" w:customStyle="1" w:styleId="InChapter">
    <w:name w:val="InChapter"/>
    <w:basedOn w:val="Heading3"/>
    <w:rsid w:val="00947A62"/>
    <w:pPr>
      <w:spacing w:after="240"/>
      <w:outlineLvl w:val="9"/>
    </w:pPr>
    <w:rPr>
      <w:noProof/>
    </w:rPr>
  </w:style>
  <w:style w:type="paragraph" w:styleId="Index2">
    <w:name w:val="index 2"/>
    <w:basedOn w:val="Normal"/>
    <w:next w:val="Normal"/>
    <w:semiHidden/>
    <w:rsid w:val="00947A62"/>
    <w:pPr>
      <w:tabs>
        <w:tab w:val="right" w:pos="4176"/>
      </w:tabs>
      <w:ind w:left="568" w:hanging="284"/>
    </w:pPr>
    <w:rPr>
      <w:rFonts w:ascii="Garamond" w:hAnsi="Garamond"/>
    </w:rPr>
  </w:style>
  <w:style w:type="paragraph" w:customStyle="1" w:styleId="Byline">
    <w:name w:val="Byline"/>
    <w:rsid w:val="00947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A62"/>
    <w:pPr>
      <w:tabs>
        <w:tab w:val="clear" w:pos="3600"/>
        <w:tab w:val="clear" w:pos="3958"/>
      </w:tabs>
      <w:jc w:val="right"/>
    </w:pPr>
  </w:style>
  <w:style w:type="character" w:styleId="Emphasis">
    <w:name w:val="Emphasis"/>
    <w:basedOn w:val="DefaultParagraphFont"/>
    <w:qFormat/>
    <w:rsid w:val="00947A62"/>
    <w:rPr>
      <w:i/>
    </w:rPr>
  </w:style>
  <w:style w:type="paragraph" w:styleId="Caption">
    <w:name w:val="caption"/>
    <w:basedOn w:val="BodyText"/>
    <w:next w:val="Normal"/>
    <w:qFormat/>
    <w:rsid w:val="00947A62"/>
    <w:pPr>
      <w:framePr w:w="2268" w:hSpace="181" w:vSpace="181" w:wrap="around" w:vAnchor="text" w:hAnchor="page" w:x="1135" w:y="285" w:anchorLock="1"/>
    </w:pPr>
    <w:rPr>
      <w:i/>
    </w:rPr>
  </w:style>
  <w:style w:type="paragraph" w:customStyle="1" w:styleId="MiniTOCTitle">
    <w:name w:val="MiniTOCTitle"/>
    <w:basedOn w:val="Heading4"/>
    <w:rsid w:val="00947A62"/>
    <w:pPr>
      <w:spacing w:before="240"/>
      <w:outlineLvl w:val="9"/>
    </w:pPr>
    <w:rPr>
      <w:noProof/>
      <w:sz w:val="24"/>
    </w:rPr>
  </w:style>
  <w:style w:type="paragraph" w:customStyle="1" w:styleId="MiniTOCItem">
    <w:name w:val="MiniTOCItem"/>
    <w:basedOn w:val="ListBullet"/>
    <w:rsid w:val="00947A62"/>
    <w:pPr>
      <w:numPr>
        <w:numId w:val="0"/>
      </w:numPr>
      <w:tabs>
        <w:tab w:val="right" w:leader="dot" w:pos="6521"/>
      </w:tabs>
      <w:spacing w:before="0" w:after="0"/>
    </w:pPr>
  </w:style>
  <w:style w:type="paragraph" w:customStyle="1" w:styleId="TOFTitle">
    <w:name w:val="TOFTitle"/>
    <w:basedOn w:val="TOCTitle"/>
    <w:rsid w:val="00947A62"/>
  </w:style>
  <w:style w:type="paragraph" w:styleId="TableofFigures">
    <w:name w:val="table of figures"/>
    <w:basedOn w:val="Normal"/>
    <w:next w:val="Normal"/>
    <w:semiHidden/>
    <w:rsid w:val="00947A62"/>
    <w:pPr>
      <w:tabs>
        <w:tab w:val="right" w:leader="dot" w:pos="9072"/>
      </w:tabs>
      <w:ind w:left="970" w:hanging="403"/>
    </w:pPr>
    <w:rPr>
      <w:rFonts w:ascii="Times New Roman" w:hAnsi="Times New Roman"/>
      <w:b/>
    </w:rPr>
  </w:style>
  <w:style w:type="paragraph" w:styleId="ListNumber">
    <w:name w:val="List Number"/>
    <w:basedOn w:val="List"/>
    <w:rsid w:val="00947A62"/>
    <w:pPr>
      <w:numPr>
        <w:numId w:val="15"/>
      </w:numPr>
      <w:tabs>
        <w:tab w:val="clear" w:pos="340"/>
      </w:tabs>
    </w:pPr>
  </w:style>
  <w:style w:type="character" w:customStyle="1" w:styleId="WingdingSymbols">
    <w:name w:val="Wingding Symbols"/>
    <w:rsid w:val="00947A62"/>
    <w:rPr>
      <w:rFonts w:ascii="Wingdings" w:hAnsi="Wingdings"/>
    </w:rPr>
  </w:style>
  <w:style w:type="paragraph" w:customStyle="1" w:styleId="TableHeading">
    <w:name w:val="Table Heading"/>
    <w:basedOn w:val="HeadingBase"/>
    <w:rsid w:val="00947A62"/>
    <w:pPr>
      <w:keepLines/>
      <w:pBdr>
        <w:bottom w:val="single" w:sz="6" w:space="1" w:color="918585"/>
      </w:pBdr>
      <w:spacing w:before="240"/>
    </w:pPr>
  </w:style>
  <w:style w:type="character" w:customStyle="1" w:styleId="HotSpot">
    <w:name w:val="HotSpot"/>
    <w:rsid w:val="00947A62"/>
    <w:rPr>
      <w:color w:val="0033CC"/>
      <w:u w:val="none"/>
    </w:rPr>
  </w:style>
  <w:style w:type="paragraph" w:customStyle="1" w:styleId="BodyTextRight">
    <w:name w:val="Body Text Right"/>
    <w:basedOn w:val="BodyText"/>
    <w:rsid w:val="00947A62"/>
    <w:pPr>
      <w:spacing w:before="0" w:after="0"/>
      <w:jc w:val="right"/>
    </w:pPr>
  </w:style>
  <w:style w:type="paragraph" w:styleId="Index3">
    <w:name w:val="index 3"/>
    <w:basedOn w:val="ListNumber2"/>
    <w:next w:val="Normal"/>
    <w:semiHidden/>
    <w:rsid w:val="00947A62"/>
    <w:pPr>
      <w:numPr>
        <w:numId w:val="0"/>
      </w:numPr>
      <w:tabs>
        <w:tab w:val="right" w:leader="dot" w:pos="4176"/>
      </w:tabs>
    </w:pPr>
  </w:style>
  <w:style w:type="paragraph" w:styleId="ListNumber2">
    <w:name w:val="List Number 2"/>
    <w:basedOn w:val="List2"/>
    <w:rsid w:val="00947A62"/>
    <w:pPr>
      <w:numPr>
        <w:numId w:val="10"/>
      </w:numPr>
      <w:tabs>
        <w:tab w:val="clear" w:pos="1060"/>
      </w:tabs>
    </w:pPr>
  </w:style>
  <w:style w:type="paragraph" w:customStyle="1" w:styleId="MarginNote">
    <w:name w:val="Margin Note"/>
    <w:basedOn w:val="BodyText"/>
    <w:rsid w:val="00947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A62"/>
    <w:rPr>
      <w:sz w:val="32"/>
    </w:rPr>
  </w:style>
  <w:style w:type="paragraph" w:customStyle="1" w:styleId="HeadingProcedure">
    <w:name w:val="Heading Procedure"/>
    <w:basedOn w:val="HeadingBase"/>
    <w:next w:val="Normal"/>
    <w:rsid w:val="00947A62"/>
    <w:pPr>
      <w:tabs>
        <w:tab w:val="left" w:pos="0"/>
      </w:tabs>
      <w:spacing w:before="120" w:after="60"/>
    </w:pPr>
    <w:rPr>
      <w:i/>
      <w:color w:val="918585"/>
      <w:sz w:val="22"/>
    </w:rPr>
  </w:style>
  <w:style w:type="paragraph" w:customStyle="1" w:styleId="TableBodyText">
    <w:name w:val="Table Body Text"/>
    <w:basedOn w:val="BodyText"/>
    <w:rsid w:val="00947A62"/>
    <w:pPr>
      <w:spacing w:before="60" w:after="60"/>
    </w:pPr>
  </w:style>
  <w:style w:type="paragraph" w:styleId="ListContinue">
    <w:name w:val="List Continue"/>
    <w:basedOn w:val="List"/>
    <w:rsid w:val="00947A62"/>
    <w:pPr>
      <w:ind w:firstLine="0"/>
    </w:pPr>
  </w:style>
  <w:style w:type="paragraph" w:customStyle="1" w:styleId="ListNote">
    <w:name w:val="List Note"/>
    <w:basedOn w:val="List"/>
    <w:rsid w:val="00947A62"/>
    <w:pPr>
      <w:pBdr>
        <w:top w:val="single" w:sz="6" w:space="2" w:color="918585"/>
        <w:bottom w:val="single" w:sz="6" w:space="2" w:color="918585"/>
      </w:pBdr>
      <w:tabs>
        <w:tab w:val="left" w:pos="1021"/>
      </w:tabs>
      <w:ind w:firstLine="0"/>
    </w:pPr>
  </w:style>
  <w:style w:type="paragraph" w:customStyle="1" w:styleId="Warning">
    <w:name w:val="Warning"/>
    <w:basedOn w:val="BodyText"/>
    <w:rsid w:val="00947A62"/>
    <w:pPr>
      <w:shd w:val="clear" w:color="auto" w:fill="D9D9D9"/>
      <w:tabs>
        <w:tab w:val="left" w:pos="992"/>
      </w:tabs>
      <w:ind w:left="119" w:right="119"/>
    </w:pPr>
    <w:rPr>
      <w:sz w:val="20"/>
    </w:rPr>
  </w:style>
  <w:style w:type="paragraph" w:customStyle="1" w:styleId="MarginIcons">
    <w:name w:val="Margin Icons"/>
    <w:basedOn w:val="BodyText"/>
    <w:rsid w:val="00947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A62"/>
    <w:rPr>
      <w:rFonts w:ascii="Courier New" w:hAnsi="Courier New"/>
    </w:rPr>
  </w:style>
  <w:style w:type="paragraph" w:customStyle="1" w:styleId="NoteBullet">
    <w:name w:val="Note Bullet"/>
    <w:basedOn w:val="Note"/>
    <w:rsid w:val="00947A62"/>
    <w:pPr>
      <w:tabs>
        <w:tab w:val="clear" w:pos="680"/>
      </w:tabs>
      <w:spacing w:before="60" w:after="60"/>
    </w:pPr>
  </w:style>
  <w:style w:type="paragraph" w:customStyle="1" w:styleId="SubHeading2">
    <w:name w:val="SubHeading2"/>
    <w:basedOn w:val="HeadingBase"/>
    <w:rsid w:val="00947A62"/>
    <w:pPr>
      <w:spacing w:before="240" w:after="60"/>
    </w:pPr>
    <w:rPr>
      <w:sz w:val="20"/>
    </w:rPr>
  </w:style>
  <w:style w:type="paragraph" w:customStyle="1" w:styleId="SubHeading1">
    <w:name w:val="SubHeading1"/>
    <w:basedOn w:val="HeadingBase"/>
    <w:rsid w:val="00947A62"/>
    <w:pPr>
      <w:spacing w:before="240" w:after="60"/>
    </w:pPr>
    <w:rPr>
      <w:color w:val="918585"/>
      <w:sz w:val="22"/>
    </w:rPr>
  </w:style>
  <w:style w:type="paragraph" w:customStyle="1" w:styleId="SideHeading">
    <w:name w:val="Side Heading"/>
    <w:basedOn w:val="HeadingBase"/>
    <w:rsid w:val="00947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A62"/>
    <w:pPr>
      <w:tabs>
        <w:tab w:val="num" w:pos="360"/>
      </w:tabs>
    </w:pPr>
  </w:style>
  <w:style w:type="paragraph" w:styleId="PlainText">
    <w:name w:val="Plain Text"/>
    <w:basedOn w:val="Normal"/>
    <w:link w:val="PlainTextChar"/>
    <w:rsid w:val="00947A62"/>
    <w:rPr>
      <w:sz w:val="20"/>
    </w:rPr>
  </w:style>
  <w:style w:type="character" w:customStyle="1" w:styleId="PlainTextChar">
    <w:name w:val="Plain Text Char"/>
    <w:basedOn w:val="DefaultParagraphFont"/>
    <w:link w:val="PlainText"/>
    <w:rsid w:val="00947A62"/>
    <w:rPr>
      <w:rFonts w:ascii="Courier New" w:eastAsia="Times New Roman" w:hAnsi="Courier New" w:cs="Times New Roman"/>
      <w:sz w:val="20"/>
      <w:szCs w:val="20"/>
      <w:lang w:eastAsia="en-US"/>
    </w:rPr>
  </w:style>
  <w:style w:type="character" w:customStyle="1" w:styleId="MenuOption">
    <w:name w:val="Menu Option"/>
    <w:basedOn w:val="DefaultParagraphFont"/>
    <w:rsid w:val="00947A62"/>
    <w:rPr>
      <w:b/>
      <w:smallCaps/>
    </w:rPr>
  </w:style>
  <w:style w:type="paragraph" w:customStyle="1" w:styleId="TableListNumber">
    <w:name w:val="Table List Number"/>
    <w:basedOn w:val="ListNumber"/>
    <w:rsid w:val="00947A62"/>
    <w:pPr>
      <w:numPr>
        <w:numId w:val="0"/>
      </w:numPr>
    </w:pPr>
  </w:style>
  <w:style w:type="paragraph" w:styleId="TOC4">
    <w:name w:val="toc 4"/>
    <w:basedOn w:val="TOCBase"/>
    <w:next w:val="Normal"/>
    <w:semiHidden/>
    <w:rsid w:val="00947A62"/>
    <w:pPr>
      <w:tabs>
        <w:tab w:val="right" w:leader="dot" w:pos="9071"/>
      </w:tabs>
      <w:ind w:left="1701"/>
    </w:pPr>
  </w:style>
  <w:style w:type="paragraph" w:customStyle="1" w:styleId="ListAlpha">
    <w:name w:val="List Alpha"/>
    <w:basedOn w:val="List"/>
    <w:rsid w:val="00947A62"/>
    <w:pPr>
      <w:numPr>
        <w:numId w:val="9"/>
      </w:numPr>
    </w:pPr>
  </w:style>
  <w:style w:type="paragraph" w:customStyle="1" w:styleId="ListAlpha2">
    <w:name w:val="List Alpha 2"/>
    <w:basedOn w:val="List2"/>
    <w:rsid w:val="00947A62"/>
    <w:pPr>
      <w:numPr>
        <w:numId w:val="8"/>
      </w:numPr>
    </w:pPr>
  </w:style>
  <w:style w:type="paragraph" w:styleId="List2">
    <w:name w:val="List 2"/>
    <w:basedOn w:val="BodyText"/>
    <w:rsid w:val="00947A62"/>
    <w:pPr>
      <w:tabs>
        <w:tab w:val="left" w:pos="680"/>
      </w:tabs>
      <w:spacing w:before="60" w:after="60"/>
      <w:ind w:left="680" w:hanging="340"/>
    </w:pPr>
  </w:style>
  <w:style w:type="paragraph" w:styleId="List3">
    <w:name w:val="List 3"/>
    <w:basedOn w:val="BodyText"/>
    <w:rsid w:val="00947A62"/>
    <w:pPr>
      <w:tabs>
        <w:tab w:val="left" w:pos="1021"/>
      </w:tabs>
      <w:spacing w:before="60" w:after="60"/>
      <w:ind w:left="1020" w:hanging="340"/>
    </w:pPr>
  </w:style>
  <w:style w:type="paragraph" w:styleId="List4">
    <w:name w:val="List 4"/>
    <w:basedOn w:val="BodyText"/>
    <w:rsid w:val="00947A62"/>
    <w:pPr>
      <w:tabs>
        <w:tab w:val="left" w:pos="1361"/>
      </w:tabs>
      <w:spacing w:before="60" w:after="60"/>
      <w:ind w:left="1361" w:hanging="340"/>
    </w:pPr>
  </w:style>
  <w:style w:type="paragraph" w:styleId="List5">
    <w:name w:val="List 5"/>
    <w:basedOn w:val="BodyText"/>
    <w:rsid w:val="00947A62"/>
    <w:pPr>
      <w:tabs>
        <w:tab w:val="left" w:pos="1701"/>
      </w:tabs>
      <w:spacing w:before="60" w:after="60"/>
      <w:ind w:left="1701" w:hanging="340"/>
    </w:pPr>
  </w:style>
  <w:style w:type="paragraph" w:styleId="ListBullet3">
    <w:name w:val="List Bullet 3"/>
    <w:basedOn w:val="List3"/>
    <w:rsid w:val="00947A62"/>
    <w:pPr>
      <w:numPr>
        <w:numId w:val="14"/>
      </w:numPr>
      <w:tabs>
        <w:tab w:val="clear" w:pos="1021"/>
      </w:tabs>
      <w:ind w:left="1037" w:hanging="357"/>
    </w:pPr>
  </w:style>
  <w:style w:type="paragraph" w:styleId="ListBullet4">
    <w:name w:val="List Bullet 4"/>
    <w:basedOn w:val="List4"/>
    <w:rsid w:val="00947A62"/>
    <w:pPr>
      <w:numPr>
        <w:numId w:val="3"/>
      </w:numPr>
      <w:tabs>
        <w:tab w:val="clear" w:pos="1361"/>
      </w:tabs>
    </w:pPr>
  </w:style>
  <w:style w:type="paragraph" w:styleId="ListBullet5">
    <w:name w:val="List Bullet 5"/>
    <w:basedOn w:val="List5"/>
    <w:rsid w:val="00947A62"/>
    <w:pPr>
      <w:numPr>
        <w:numId w:val="4"/>
      </w:numPr>
    </w:pPr>
  </w:style>
  <w:style w:type="paragraph" w:styleId="ListContinue2">
    <w:name w:val="List Continue 2"/>
    <w:basedOn w:val="List2"/>
    <w:rsid w:val="00947A62"/>
    <w:pPr>
      <w:ind w:firstLine="0"/>
    </w:pPr>
  </w:style>
  <w:style w:type="paragraph" w:styleId="ListContinue3">
    <w:name w:val="List Continue 3"/>
    <w:basedOn w:val="List3"/>
    <w:rsid w:val="00947A62"/>
    <w:pPr>
      <w:ind w:left="1021" w:firstLine="0"/>
    </w:pPr>
  </w:style>
  <w:style w:type="paragraph" w:styleId="ListContinue4">
    <w:name w:val="List Continue 4"/>
    <w:basedOn w:val="List4"/>
    <w:rsid w:val="00947A62"/>
    <w:pPr>
      <w:ind w:firstLine="0"/>
    </w:pPr>
  </w:style>
  <w:style w:type="paragraph" w:styleId="ListContinue5">
    <w:name w:val="List Continue 5"/>
    <w:basedOn w:val="List5"/>
    <w:rsid w:val="00947A62"/>
    <w:pPr>
      <w:ind w:firstLine="0"/>
    </w:pPr>
  </w:style>
  <w:style w:type="paragraph" w:styleId="ListNumber3">
    <w:name w:val="List Number 3"/>
    <w:basedOn w:val="List3"/>
    <w:rsid w:val="00947A62"/>
    <w:pPr>
      <w:numPr>
        <w:numId w:val="5"/>
      </w:numPr>
    </w:pPr>
  </w:style>
  <w:style w:type="paragraph" w:styleId="ListNumber4">
    <w:name w:val="List Number 4"/>
    <w:basedOn w:val="List4"/>
    <w:rsid w:val="00947A62"/>
    <w:pPr>
      <w:numPr>
        <w:numId w:val="6"/>
      </w:numPr>
    </w:pPr>
  </w:style>
  <w:style w:type="paragraph" w:styleId="ListNumber5">
    <w:name w:val="List Number 5"/>
    <w:basedOn w:val="List5"/>
    <w:rsid w:val="00947A62"/>
    <w:pPr>
      <w:numPr>
        <w:numId w:val="7"/>
      </w:numPr>
    </w:pPr>
  </w:style>
  <w:style w:type="paragraph" w:styleId="BlockText">
    <w:name w:val="Block Text"/>
    <w:basedOn w:val="Normal"/>
    <w:rsid w:val="00947A62"/>
    <w:pPr>
      <w:spacing w:after="120"/>
      <w:ind w:left="1440" w:right="1440"/>
    </w:pPr>
  </w:style>
  <w:style w:type="character" w:customStyle="1" w:styleId="Subscript">
    <w:name w:val="Subscript"/>
    <w:basedOn w:val="DefaultParagraphFont"/>
    <w:rsid w:val="00947A62"/>
    <w:rPr>
      <w:sz w:val="16"/>
      <w:vertAlign w:val="subscript"/>
    </w:rPr>
  </w:style>
  <w:style w:type="character" w:customStyle="1" w:styleId="Superscript">
    <w:name w:val="Superscript"/>
    <w:basedOn w:val="DefaultParagraphFont"/>
    <w:rsid w:val="00947A62"/>
    <w:rPr>
      <w:sz w:val="16"/>
      <w:vertAlign w:val="superscript"/>
    </w:rPr>
  </w:style>
  <w:style w:type="character" w:customStyle="1" w:styleId="Symbols">
    <w:name w:val="Symbols"/>
    <w:basedOn w:val="DefaultParagraphFont"/>
    <w:rsid w:val="00947A62"/>
    <w:rPr>
      <w:rFonts w:ascii="Symbol" w:hAnsi="Symbol"/>
    </w:rPr>
  </w:style>
  <w:style w:type="character" w:customStyle="1" w:styleId="MenuOptions">
    <w:name w:val="Menu Options"/>
    <w:basedOn w:val="DefaultParagraphFont"/>
    <w:rsid w:val="00947A62"/>
    <w:rPr>
      <w:rFonts w:ascii="Arial Narrow" w:hAnsi="Arial Narrow"/>
      <w:smallCaps/>
    </w:rPr>
  </w:style>
  <w:style w:type="character" w:customStyle="1" w:styleId="Buttons">
    <w:name w:val="Buttons"/>
    <w:basedOn w:val="DefaultParagraphFont"/>
    <w:rsid w:val="00947A62"/>
    <w:rPr>
      <w:b/>
    </w:rPr>
  </w:style>
  <w:style w:type="character" w:customStyle="1" w:styleId="Underlined">
    <w:name w:val="Underlined"/>
    <w:basedOn w:val="DefaultParagraphFont"/>
    <w:rsid w:val="00947A62"/>
    <w:rPr>
      <w:u w:val="single"/>
    </w:rPr>
  </w:style>
  <w:style w:type="paragraph" w:customStyle="1" w:styleId="TableBodyTextRight">
    <w:name w:val="Table Body Text Right"/>
    <w:basedOn w:val="TableBodyText"/>
    <w:rsid w:val="00947A62"/>
    <w:pPr>
      <w:widowControl w:val="0"/>
      <w:autoSpaceDE w:val="0"/>
      <w:autoSpaceDN w:val="0"/>
      <w:adjustRightInd w:val="0"/>
      <w:jc w:val="right"/>
    </w:pPr>
    <w:rPr>
      <w:rFonts w:cs="Arial"/>
      <w:szCs w:val="18"/>
    </w:rPr>
  </w:style>
  <w:style w:type="paragraph" w:customStyle="1" w:styleId="CopyrightText">
    <w:name w:val="Copyright Text"/>
    <w:basedOn w:val="BodyText"/>
    <w:rsid w:val="00947A62"/>
    <w:rPr>
      <w:sz w:val="18"/>
    </w:rPr>
  </w:style>
  <w:style w:type="paragraph" w:customStyle="1" w:styleId="BodySmallRight">
    <w:name w:val="Body Small Right"/>
    <w:basedOn w:val="BodyTextRight"/>
    <w:rsid w:val="00947A62"/>
    <w:rPr>
      <w:sz w:val="18"/>
      <w:szCs w:val="18"/>
    </w:rPr>
  </w:style>
  <w:style w:type="paragraph" w:customStyle="1" w:styleId="MarginEdition">
    <w:name w:val="Margin Edition"/>
    <w:basedOn w:val="MarginNote"/>
    <w:rsid w:val="00947A62"/>
    <w:pPr>
      <w:spacing w:before="0" w:after="0"/>
    </w:pPr>
    <w:rPr>
      <w:rFonts w:ascii="Times New Roman" w:hAnsi="Times New Roman"/>
      <w:color w:val="999999"/>
    </w:rPr>
  </w:style>
  <w:style w:type="paragraph" w:customStyle="1" w:styleId="Spacer">
    <w:name w:val="Spacer"/>
    <w:basedOn w:val="Normal"/>
    <w:rsid w:val="00947A62"/>
    <w:rPr>
      <w:sz w:val="2"/>
      <w:szCs w:val="2"/>
    </w:rPr>
  </w:style>
  <w:style w:type="character" w:customStyle="1" w:styleId="Small">
    <w:name w:val="Small"/>
    <w:basedOn w:val="DefaultParagraphFont"/>
    <w:rsid w:val="00947A62"/>
    <w:rPr>
      <w:sz w:val="16"/>
    </w:rPr>
  </w:style>
  <w:style w:type="paragraph" w:customStyle="1" w:styleId="WideTable">
    <w:name w:val="Wide Table"/>
    <w:basedOn w:val="Normal"/>
    <w:rsid w:val="00947A62"/>
    <w:pPr>
      <w:ind w:left="-1418"/>
    </w:pPr>
    <w:rPr>
      <w:sz w:val="2"/>
      <w:szCs w:val="2"/>
    </w:rPr>
  </w:style>
  <w:style w:type="character" w:styleId="PageNumber">
    <w:name w:val="page number"/>
    <w:basedOn w:val="DefaultParagraphFont"/>
    <w:rsid w:val="00947A62"/>
  </w:style>
  <w:style w:type="paragraph" w:styleId="Quote">
    <w:name w:val="Quote"/>
    <w:basedOn w:val="Heading1"/>
    <w:link w:val="QuoteChar"/>
    <w:qFormat/>
    <w:rsid w:val="00947A62"/>
    <w:rPr>
      <w:b w:val="0"/>
      <w:sz w:val="72"/>
      <w:szCs w:val="72"/>
      <w:lang w:val="en-NZ"/>
    </w:rPr>
  </w:style>
  <w:style w:type="character" w:customStyle="1" w:styleId="QuoteChar">
    <w:name w:val="Quote Char"/>
    <w:basedOn w:val="DefaultParagraphFont"/>
    <w:link w:val="Quote"/>
    <w:rsid w:val="00947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A62"/>
    <w:pPr>
      <w:pageBreakBefore/>
    </w:pPr>
  </w:style>
  <w:style w:type="paragraph" w:customStyle="1" w:styleId="Border">
    <w:name w:val="Border"/>
    <w:basedOn w:val="Normal"/>
    <w:qFormat/>
    <w:rsid w:val="00947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A62"/>
    <w:rPr>
      <w:b/>
      <w:bCs/>
      <w:i/>
      <w:iCs/>
      <w:color w:val="auto"/>
    </w:rPr>
  </w:style>
  <w:style w:type="paragraph" w:styleId="IntenseQuote">
    <w:name w:val="Intense Quote"/>
    <w:basedOn w:val="Normal"/>
    <w:next w:val="Normal"/>
    <w:link w:val="IntenseQuoteChar"/>
    <w:uiPriority w:val="30"/>
    <w:qFormat/>
    <w:rsid w:val="00947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A62"/>
    <w:rPr>
      <w:smallCaps/>
      <w:color w:val="auto"/>
      <w:u w:val="single"/>
    </w:rPr>
  </w:style>
  <w:style w:type="character" w:styleId="IntenseReference">
    <w:name w:val="Intense Reference"/>
    <w:basedOn w:val="DefaultParagraphFont"/>
    <w:uiPriority w:val="32"/>
    <w:qFormat/>
    <w:rsid w:val="00947A62"/>
    <w:rPr>
      <w:b/>
      <w:bCs/>
      <w:smallCaps/>
      <w:color w:val="auto"/>
      <w:spacing w:val="5"/>
      <w:u w:val="single"/>
    </w:rPr>
  </w:style>
  <w:style w:type="paragraph" w:customStyle="1" w:styleId="2ColumnHeading">
    <w:name w:val="2Column Heading"/>
    <w:basedOn w:val="BodyText"/>
    <w:qFormat/>
    <w:rsid w:val="00947A62"/>
    <w:pPr>
      <w:spacing w:after="60"/>
      <w:ind w:left="-2268"/>
    </w:pPr>
    <w:rPr>
      <w:b/>
    </w:rPr>
  </w:style>
  <w:style w:type="paragraph" w:customStyle="1" w:styleId="Heading1TOC">
    <w:name w:val="Heading1 TOC"/>
    <w:basedOn w:val="Normal"/>
    <w:qFormat/>
    <w:rsid w:val="00947A62"/>
    <w:pPr>
      <w:spacing w:before="240" w:after="120"/>
    </w:pPr>
    <w:rPr>
      <w:rFonts w:ascii="Times New Roman" w:hAnsi="Times New Roman"/>
      <w:b/>
      <w:sz w:val="32"/>
    </w:rPr>
  </w:style>
  <w:style w:type="paragraph" w:customStyle="1" w:styleId="Heading2TOC">
    <w:name w:val="Heading2 TOC"/>
    <w:basedOn w:val="Normal"/>
    <w:qFormat/>
    <w:rsid w:val="00947A62"/>
    <w:pPr>
      <w:spacing w:before="240" w:after="60"/>
    </w:pPr>
    <w:rPr>
      <w:rFonts w:ascii="Times New Roman" w:hAnsi="Times New Roman"/>
      <w:b/>
      <w:sz w:val="28"/>
    </w:rPr>
  </w:style>
  <w:style w:type="character" w:customStyle="1" w:styleId="Underline">
    <w:name w:val="Underline"/>
    <w:basedOn w:val="DefaultParagraphFont"/>
    <w:qFormat/>
    <w:rsid w:val="00947A62"/>
    <w:rPr>
      <w:u w:val="single"/>
    </w:rPr>
  </w:style>
  <w:style w:type="character" w:customStyle="1" w:styleId="BoldandItalics">
    <w:name w:val="Bold and Italics"/>
    <w:qFormat/>
    <w:rsid w:val="00947A62"/>
    <w:rPr>
      <w:b/>
      <w:i/>
      <w:u w:val="none"/>
    </w:rPr>
  </w:style>
  <w:style w:type="paragraph" w:styleId="BalloonText">
    <w:name w:val="Balloon Text"/>
    <w:basedOn w:val="Normal"/>
    <w:link w:val="BalloonTextChar"/>
    <w:rsid w:val="00947A62"/>
    <w:rPr>
      <w:rFonts w:ascii="Tahoma" w:hAnsi="Tahoma" w:cs="Tahoma"/>
      <w:sz w:val="16"/>
      <w:szCs w:val="16"/>
    </w:rPr>
  </w:style>
  <w:style w:type="character" w:customStyle="1" w:styleId="BalloonTextChar">
    <w:name w:val="Balloon Text Char"/>
    <w:basedOn w:val="DefaultParagraphFont"/>
    <w:link w:val="BalloonText"/>
    <w:rsid w:val="00947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A62"/>
    <w:rPr>
      <w:b/>
      <w:color w:val="660033"/>
      <w:spacing w:val="0"/>
    </w:rPr>
  </w:style>
  <w:style w:type="paragraph" w:customStyle="1" w:styleId="Nameditemlist">
    <w:name w:val="Named item list"/>
    <w:basedOn w:val="BodyText"/>
    <w:qFormat/>
    <w:rsid w:val="00947A62"/>
    <w:pPr>
      <w:tabs>
        <w:tab w:val="left" w:pos="2835"/>
      </w:tabs>
      <w:ind w:left="2835" w:hanging="2835"/>
    </w:pPr>
  </w:style>
  <w:style w:type="paragraph" w:customStyle="1" w:styleId="BodyTextnopadding">
    <w:name w:val="Body Text no padding"/>
    <w:basedOn w:val="BodyText"/>
    <w:qFormat/>
    <w:rsid w:val="00947A62"/>
    <w:pPr>
      <w:spacing w:before="0" w:after="0"/>
    </w:pPr>
  </w:style>
  <w:style w:type="paragraph" w:customStyle="1" w:styleId="BodyTextBold">
    <w:name w:val="Body Text Bold"/>
    <w:basedOn w:val="BodyText"/>
    <w:qFormat/>
    <w:rsid w:val="00947A62"/>
    <w:rPr>
      <w:b/>
    </w:rPr>
  </w:style>
  <w:style w:type="character" w:styleId="Hyperlink">
    <w:name w:val="Hyperlink"/>
    <w:basedOn w:val="DefaultParagraphFont"/>
    <w:uiPriority w:val="99"/>
    <w:unhideWhenUsed/>
    <w:rsid w:val="000656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6752</Characters>
  <Application>Microsoft Office Word</Application>
  <DocSecurity>0</DocSecurity>
  <Lines>250</Lines>
  <Paragraphs>146</Paragraphs>
  <ScaleCrop>false</ScaleCrop>
  <Company>Author-it Software Corporation Ltd.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UETDRTS034 Commission and maintain voltage regulating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