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44E" w:rsidP="007324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UETDRTS032 Commission and maintain metering schemes</w:t>
      </w:r>
      <w:r>
        <w:fldChar w:fldCharType="end"/>
      </w:r>
    </w:p>
    <w:p w:rsidR="0073244E" w:rsidP="0073244E">
      <w:pPr>
        <w:pStyle w:val="Version"/>
        <w:sectPr w:rsidSect="00A75B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B89" w:rsidP="00A75B89">
      <w:pPr>
        <w:pStyle w:val="SuperHeading"/>
      </w:pPr>
      <w:r w:rsidRPr="00A75B89">
        <w:t>UETDRTS032 Commission and maintain metering schemes</w:t>
      </w:r>
    </w:p>
    <w:p w:rsidR="00000000" w:rsidRPr="00A75B89" w:rsidP="00A75B89">
      <w:pPr>
        <w:pStyle w:val="Heading1"/>
      </w:pPr>
      <w:bookmarkStart w:id="1" w:name="O_1237738"/>
      <w:bookmarkEnd w:id="1"/>
      <w:r w:rsidRPr="00A75B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 w:rsidP="00A75B89">
            <w:pPr>
              <w:pStyle w:val="BodyText"/>
            </w:pPr>
            <w:r w:rsidRPr="00A75B89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A75B89" w:rsidP="00A75B89">
      <w:pPr>
        <w:pStyle w:val="NoPaddingFontSize1"/>
      </w:pPr>
    </w:p>
    <w:p w:rsidR="00000000" w:rsidRPr="00A75B89" w:rsidP="00A75B89">
      <w:pPr>
        <w:pStyle w:val="AllowPageBreak"/>
      </w:pPr>
    </w:p>
    <w:p w:rsidR="00000000" w:rsidRPr="00A75B89" w:rsidP="00A75B89">
      <w:pPr>
        <w:pStyle w:val="Heading1"/>
      </w:pPr>
      <w:bookmarkStart w:id="2" w:name="O_1237739"/>
      <w:bookmarkEnd w:id="2"/>
      <w:r w:rsidRPr="00A75B8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 w:rsidP="00A75B89">
            <w:pPr>
              <w:pStyle w:val="BodyText"/>
            </w:pPr>
            <w:r w:rsidRPr="00A75B89">
              <w:t>This unit covers the skills and knowledge req</w:t>
            </w:r>
            <w:r w:rsidRPr="00A75B89">
              <w:t>uired to commission and maintain power systems metering schemes in the electricity supply industry (ESI).</w:t>
            </w:r>
          </w:p>
          <w:p w:rsidR="00000000" w:rsidRPr="00A75B89" w:rsidP="00A75B89">
            <w:pPr>
              <w:pStyle w:val="BodyText"/>
            </w:pPr>
            <w:r w:rsidRPr="00A75B89">
              <w:t>It includes commissioning and maintenance procedures, safety and polarity testing, and accuracy measurements.</w:t>
            </w:r>
          </w:p>
          <w:p w:rsidR="00000000" w:rsidRPr="00A75B89" w:rsidP="00A75B89">
            <w:pPr>
              <w:pStyle w:val="BodyText"/>
            </w:pPr>
            <w:r w:rsidRPr="00A75B89">
              <w:t>It also includes types of meters, contro</w:t>
            </w:r>
            <w:r w:rsidRPr="00A75B89">
              <w:t>l systems and associated equipment and accessories.</w:t>
            </w:r>
          </w:p>
          <w:p w:rsidR="00000000" w:rsidRPr="00A75B89" w:rsidP="00A75B89">
            <w:pPr>
              <w:pStyle w:val="BodyText"/>
            </w:pPr>
            <w:r w:rsidRPr="00A75B89">
              <w:t>The application of the skills and knowledge described in this unit may require a licence/registration to practice in the workplace.</w:t>
            </w:r>
          </w:p>
          <w:p w:rsidR="00000000" w:rsidRPr="00A75B89" w:rsidP="00A75B89">
            <w:pPr>
              <w:pStyle w:val="BodyText"/>
            </w:pPr>
            <w:r w:rsidRPr="00A75B89">
              <w:t>Other conditions may also apply under state and territory legislative an</w:t>
            </w:r>
            <w:r w:rsidRPr="00A75B89">
              <w:t>d regulatory licensing requirements which must be confirmed prior to commencing this unit.</w:t>
            </w:r>
          </w:p>
        </w:tc>
      </w:tr>
    </w:tbl>
    <w:p w:rsidR="00000000" w:rsidRPr="00A75B89" w:rsidP="00A75B89">
      <w:pPr>
        <w:pStyle w:val="NoPaddingFontSize1"/>
      </w:pPr>
    </w:p>
    <w:p w:rsidR="00000000" w:rsidRPr="00A75B89" w:rsidP="00A75B89">
      <w:pPr>
        <w:pStyle w:val="AllowPageBreak"/>
      </w:pPr>
    </w:p>
    <w:p w:rsidR="00000000" w:rsidRPr="00A75B89" w:rsidP="00A75B89">
      <w:pPr>
        <w:pStyle w:val="Heading1"/>
      </w:pPr>
      <w:bookmarkStart w:id="3" w:name="O_1237740"/>
      <w:bookmarkEnd w:id="3"/>
      <w:r w:rsidRPr="00A75B8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 w:rsidP="00A75B89">
            <w:pPr>
              <w:pStyle w:val="BodyText"/>
            </w:pPr>
            <w:r w:rsidRPr="00A75B89">
              <w:t xml:space="preserve">UEECD0007 Apply work health and safety regulations, codes and practices in the workplace </w:t>
            </w:r>
          </w:p>
          <w:p w:rsidR="00000000" w:rsidRPr="00A75B89" w:rsidP="00A75B89">
            <w:pPr>
              <w:pStyle w:val="BodyText"/>
            </w:pPr>
            <w:r w:rsidRPr="00A75B89">
              <w:t>UEECD0010 Compile and produce an en</w:t>
            </w:r>
            <w:r w:rsidRPr="00A75B89">
              <w:t>ergy sector detailed report</w:t>
            </w:r>
          </w:p>
          <w:p w:rsidR="00000000" w:rsidRPr="00A75B89" w:rsidP="00A75B89">
            <w:pPr>
              <w:pStyle w:val="BodyText"/>
            </w:pPr>
            <w:r w:rsidRPr="00A75B89">
              <w:t xml:space="preserve">UEECD0019 Fabricate, assemble and dismantle utilities industry components </w:t>
            </w:r>
          </w:p>
          <w:p w:rsidR="00000000" w:rsidRPr="00A75B89" w:rsidP="00A75B89">
            <w:pPr>
              <w:pStyle w:val="BodyText"/>
            </w:pPr>
            <w:r w:rsidRPr="00A75B89">
              <w:t>UEECD0044 Solve problems in multiple path circuits</w:t>
            </w:r>
          </w:p>
          <w:p w:rsidR="00000000" w:rsidRPr="00A75B89" w:rsidP="00A75B89">
            <w:pPr>
              <w:pStyle w:val="BodyText"/>
            </w:pPr>
            <w:r w:rsidRPr="00A75B89">
              <w:t>UEECD0046 Solve problems in single path circuits</w:t>
            </w:r>
          </w:p>
          <w:p w:rsidR="00000000" w:rsidRPr="00A75B89" w:rsidP="00A75B89">
            <w:pPr>
              <w:pStyle w:val="BodyText"/>
            </w:pPr>
            <w:r w:rsidRPr="00A75B89">
              <w:t>UEECD0051 Use drawings, diagrams, schedules, standard</w:t>
            </w:r>
            <w:r w:rsidRPr="00A75B89">
              <w:t xml:space="preserve">s, codes and specifications </w:t>
            </w:r>
          </w:p>
          <w:p w:rsidR="00000000" w:rsidRPr="00A75B89" w:rsidP="00A75B89">
            <w:pPr>
              <w:pStyle w:val="BodyText"/>
            </w:pPr>
            <w:r w:rsidRPr="00A75B89">
              <w:t xml:space="preserve">UEEEL0020 Solve problems in low voltage a.c. circuits </w:t>
            </w:r>
          </w:p>
          <w:p w:rsidR="00000000" w:rsidRPr="00A75B89" w:rsidP="00A75B89">
            <w:pPr>
              <w:pStyle w:val="BodyText"/>
            </w:pPr>
            <w:r w:rsidRPr="00A75B89">
              <w:t>UEEEL0021 Solve problems in magnetic and electromagnetic devices</w:t>
            </w:r>
          </w:p>
          <w:p w:rsidR="00000000" w:rsidRPr="00A75B89" w:rsidP="00A75B89">
            <w:pPr>
              <w:pStyle w:val="BodyText"/>
            </w:pPr>
            <w:r w:rsidRPr="00A75B89">
              <w:t>UETDREL005 Work safely in the vicinity of live electrical apparatus</w:t>
            </w:r>
          </w:p>
          <w:p w:rsidR="00000000" w:rsidRPr="00A75B89" w:rsidP="00A75B89">
            <w:pPr>
              <w:pStyle w:val="BodyText"/>
            </w:pPr>
            <w:r w:rsidRPr="00A75B89">
              <w:t>UETDRTS0</w:t>
            </w:r>
            <w:r w:rsidRPr="00A75B89">
              <w:t>36 Develop secondary protection and control scheme isolation and restoration documents</w:t>
            </w:r>
          </w:p>
        </w:tc>
      </w:tr>
    </w:tbl>
    <w:p w:rsidR="00000000" w:rsidRPr="00A75B89" w:rsidP="00A75B89">
      <w:pPr>
        <w:pStyle w:val="NoPaddingFontSize1"/>
      </w:pPr>
    </w:p>
    <w:p w:rsidR="00000000" w:rsidRPr="00A75B89" w:rsidP="00A75B89">
      <w:pPr>
        <w:pStyle w:val="AllowPageBreak"/>
      </w:pPr>
    </w:p>
    <w:p w:rsidR="00000000" w:rsidRPr="00A75B89" w:rsidP="00A75B89">
      <w:pPr>
        <w:pStyle w:val="Heading1"/>
      </w:pPr>
      <w:bookmarkStart w:id="4" w:name="O_1237741"/>
      <w:bookmarkEnd w:id="4"/>
      <w:r w:rsidRPr="00A75B8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 w:rsidP="00A75B89">
            <w:pPr>
              <w:pStyle w:val="BodyText"/>
            </w:pPr>
            <w:r w:rsidRPr="00A75B89">
              <w:t>Testing</w:t>
            </w:r>
          </w:p>
        </w:tc>
      </w:tr>
    </w:tbl>
    <w:p w:rsidR="00000000" w:rsidRPr="00A75B89" w:rsidP="00A75B89">
      <w:pPr>
        <w:pStyle w:val="NoPaddingFontSize1"/>
      </w:pPr>
    </w:p>
    <w:p w:rsidR="00000000" w:rsidRPr="00A75B89" w:rsidP="00A75B89">
      <w:pPr>
        <w:pStyle w:val="AllowPageBreak"/>
      </w:pPr>
    </w:p>
    <w:p w:rsidR="00000000" w:rsidRPr="00A75B89" w:rsidP="00A75B89">
      <w:pPr>
        <w:pStyle w:val="Heading1"/>
      </w:pPr>
      <w:bookmarkStart w:id="5" w:name="O_1237742"/>
      <w:bookmarkEnd w:id="5"/>
      <w:r w:rsidRPr="00A75B8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 w:rsidP="00A75B89">
            <w:pPr>
              <w:pStyle w:val="BodyText"/>
            </w:pPr>
            <w:r w:rsidRPr="00A75B89">
              <w:t>Not applicable.</w:t>
            </w:r>
          </w:p>
        </w:tc>
      </w:tr>
    </w:tbl>
    <w:p w:rsidR="00000000" w:rsidRPr="00A75B89" w:rsidP="00A75B89">
      <w:pPr>
        <w:pStyle w:val="NoPaddingFontSize1"/>
      </w:pPr>
    </w:p>
    <w:p w:rsidR="00000000" w:rsidRPr="00A75B89" w:rsidP="00A75B89">
      <w:pPr>
        <w:pStyle w:val="AllowPageBreak"/>
      </w:pPr>
    </w:p>
    <w:p w:rsidR="00000000" w:rsidRPr="00A75B89" w:rsidP="00A75B89">
      <w:pPr>
        <w:pStyle w:val="Heading1"/>
      </w:pPr>
      <w:bookmarkStart w:id="6" w:name="O_1237743"/>
      <w:bookmarkEnd w:id="6"/>
      <w:r w:rsidRPr="00A75B8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5B89" w:rsidP="00A75B89">
            <w:pPr>
              <w:pStyle w:val="BodyText"/>
            </w:pPr>
            <w:r w:rsidRPr="00A75B8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rPr>
                <w:rStyle w:val="SpecialBold"/>
              </w:rPr>
              <w:t>PERFORMAN</w:t>
            </w:r>
            <w:r w:rsidRPr="00A75B89">
              <w:rPr>
                <w:rStyle w:val="SpecialBold"/>
              </w:rPr>
              <w:t>CE CRITERIA</w:t>
            </w:r>
          </w:p>
        </w:tc>
      </w:tr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t>Performance criteria describe the performance needed to demonstrate achievement of the element.</w:t>
            </w:r>
          </w:p>
        </w:tc>
      </w:tr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 w:rsidP="00A75B89">
            <w:pPr>
              <w:pStyle w:val="BodyText"/>
            </w:pPr>
            <w:r w:rsidRPr="00A75B8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 w:rsidP="00A75B89">
            <w:pPr>
              <w:pStyle w:val="BodyText"/>
            </w:pPr>
            <w:r w:rsidRPr="00A75B89">
              <w:rPr>
                <w:rStyle w:val="SpecialBold"/>
              </w:rPr>
              <w:t xml:space="preserve">Prepare to commission and maintain metering schemes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t>Workplace organisational requirements for the commissioning and maintenance of metering schemes, are reviewed and determined</w:t>
            </w:r>
          </w:p>
        </w:tc>
      </w:tr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t>Purpose of the commissioning and maintenance of metering schemes is established</w:t>
            </w:r>
          </w:p>
        </w:tc>
      </w:tr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t xml:space="preserve">Testing </w:t>
            </w:r>
            <w:r w:rsidRPr="00A75B89">
              <w:t>procedures are discussed and reviewed with appropriate personnel</w:t>
            </w:r>
          </w:p>
        </w:tc>
      </w:tr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t>Testing parameters are established from workplace organisational requirements</w:t>
            </w:r>
          </w:p>
        </w:tc>
      </w:tr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t>Relevant stakeholders are identified and liaised with</w:t>
            </w:r>
          </w:p>
        </w:tc>
      </w:tr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t>Hazards are identified, risks assessed, and control measures identified</w:t>
            </w:r>
          </w:p>
        </w:tc>
      </w:tr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t>Work permits are organised in accordance with workplace requirements</w:t>
            </w:r>
          </w:p>
        </w:tc>
      </w:tr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t>Tools, equipment and personal protective equipment (PPE) required for work are determined, obtained a</w:t>
            </w:r>
            <w:r w:rsidRPr="00A75B89">
              <w:t>nd confirmed in working order</w:t>
            </w:r>
          </w:p>
        </w:tc>
      </w:tr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 w:rsidP="00A75B89">
            <w:pPr>
              <w:pStyle w:val="BodyText"/>
            </w:pPr>
            <w:r w:rsidRPr="00A75B8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 w:rsidP="00A75B89">
            <w:pPr>
              <w:pStyle w:val="BodyText"/>
            </w:pPr>
            <w:r w:rsidRPr="00A75B89">
              <w:rPr>
                <w:rStyle w:val="SpecialBold"/>
              </w:rPr>
              <w:t>Commission and maintain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t>Relevant stakeholder liaison and work permits are applied</w:t>
            </w:r>
          </w:p>
        </w:tc>
      </w:tr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t xml:space="preserve">Manual handling and use of tools, equipment and PPE are carried out in accordance with workplace requirements </w:t>
            </w:r>
          </w:p>
        </w:tc>
      </w:tr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t>Hazard control measures are applied and monitored in accordance with workplace requirements</w:t>
            </w:r>
          </w:p>
        </w:tc>
      </w:tr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t>Metering schemes are commissioned and maintained in accordance with workplace requirements</w:t>
            </w:r>
          </w:p>
        </w:tc>
      </w:tr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t xml:space="preserve">Metering schemes are tested in accordance with workplace requirements </w:t>
            </w:r>
          </w:p>
        </w:tc>
      </w:tr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t>Solutions to non-routine problems are identified and actioned</w:t>
            </w:r>
          </w:p>
        </w:tc>
      </w:tr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t>Quality checks of work are undertaken in accordance with workplace requirements</w:t>
            </w:r>
          </w:p>
        </w:tc>
      </w:tr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 w:rsidP="00A75B89">
            <w:pPr>
              <w:pStyle w:val="BodyText"/>
            </w:pPr>
            <w:r w:rsidRPr="00A75B8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 w:rsidP="00A75B89">
            <w:pPr>
              <w:pStyle w:val="BodyText"/>
            </w:pPr>
            <w:r w:rsidRPr="00A75B89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t>Completed work is checked for compliance against workplace requirements</w:t>
            </w:r>
          </w:p>
        </w:tc>
      </w:tr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t>Relevant stakeholders are notified of completion and reports and/or completion documents are finalised</w:t>
            </w:r>
          </w:p>
        </w:tc>
      </w:tr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89">
            <w:pPr>
              <w:pStyle w:val="BodyText"/>
              <w:rPr>
                <w:lang w:val="en-NZ"/>
              </w:rPr>
            </w:pPr>
            <w:r w:rsidRPr="00A75B8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 w:rsidP="00A75B89">
            <w:pPr>
              <w:pStyle w:val="BodyText"/>
            </w:pPr>
            <w:r w:rsidRPr="00A75B89">
              <w:t>Commissioning and maintenance d</w:t>
            </w:r>
            <w:r w:rsidRPr="00A75B89">
              <w:t>ocumentation is completed in accordance with workplace requirements</w:t>
            </w:r>
          </w:p>
        </w:tc>
      </w:tr>
    </w:tbl>
    <w:p w:rsidR="00000000" w:rsidRPr="00A75B89" w:rsidP="00A75B89">
      <w:pPr>
        <w:pStyle w:val="NoPaddingFontSize1"/>
      </w:pPr>
    </w:p>
    <w:p w:rsidR="00000000" w:rsidRPr="00A75B89" w:rsidP="00A75B89">
      <w:pPr>
        <w:pStyle w:val="AllowPageBreak"/>
      </w:pPr>
    </w:p>
    <w:p w:rsidR="00000000" w:rsidRPr="00A75B89" w:rsidP="00A75B89">
      <w:pPr>
        <w:pStyle w:val="Heading1"/>
      </w:pPr>
      <w:bookmarkStart w:id="7" w:name="O_1237744"/>
      <w:bookmarkEnd w:id="7"/>
      <w:r w:rsidRPr="00A75B8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 w:rsidP="00A75B89">
            <w:pPr>
              <w:pStyle w:val="BodyText"/>
            </w:pPr>
            <w:r w:rsidRPr="00A75B89">
              <w:t>Foundation skills essential to performance are explicit in the performance criteria of this unit of competency.</w:t>
            </w:r>
          </w:p>
        </w:tc>
      </w:tr>
    </w:tbl>
    <w:p w:rsidR="00000000" w:rsidRPr="00A75B89" w:rsidP="00A75B89">
      <w:pPr>
        <w:pStyle w:val="NoPaddingFontSize1"/>
      </w:pPr>
    </w:p>
    <w:p w:rsidR="00000000" w:rsidRPr="00A75B89" w:rsidP="00A75B89">
      <w:pPr>
        <w:pStyle w:val="AllowPageBreak"/>
      </w:pPr>
    </w:p>
    <w:p w:rsidR="00000000" w:rsidRPr="00A75B89" w:rsidP="00A75B89">
      <w:pPr>
        <w:pStyle w:val="Heading1"/>
      </w:pPr>
      <w:bookmarkStart w:id="8" w:name="O_1237745"/>
      <w:bookmarkEnd w:id="8"/>
      <w:r w:rsidRPr="00A75B8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 w:rsidP="00A75B89">
            <w:pPr>
              <w:pStyle w:val="BodyText"/>
            </w:pPr>
            <w:r w:rsidRPr="00A75B89">
              <w:t>Range is restricted to essential operating conditions and any other variables essential to the work environment.</w:t>
            </w:r>
          </w:p>
          <w:p w:rsidR="00000000" w:rsidRPr="00A75B89" w:rsidP="00A75B89">
            <w:pPr>
              <w:pStyle w:val="BodyText"/>
            </w:pPr>
            <w:r w:rsidRPr="00A75B89">
              <w:t>Non-essential conditions may be found in the UET Transmission, Distribution and Rail Sector Training Package Companion Volu</w:t>
            </w:r>
            <w:r w:rsidRPr="00A75B89">
              <w:t>me Implementation Guide.</w:t>
            </w:r>
          </w:p>
        </w:tc>
      </w:tr>
    </w:tbl>
    <w:p w:rsidR="00000000" w:rsidRPr="00A75B89" w:rsidP="00A75B89">
      <w:pPr>
        <w:pStyle w:val="NoPaddingFontSize1"/>
      </w:pPr>
    </w:p>
    <w:p w:rsidR="00000000" w:rsidRPr="00A75B89" w:rsidP="00A75B89">
      <w:pPr>
        <w:pStyle w:val="AllowPageBreak"/>
      </w:pPr>
    </w:p>
    <w:p w:rsidR="00000000" w:rsidRPr="00A75B89" w:rsidP="00A75B89">
      <w:pPr>
        <w:pStyle w:val="Heading1"/>
      </w:pPr>
      <w:bookmarkStart w:id="9" w:name="O_1237746"/>
      <w:bookmarkEnd w:id="9"/>
      <w:r w:rsidRPr="00A75B8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B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89" w:rsidP="00A75B89">
            <w:pPr>
              <w:pStyle w:val="BodyText"/>
            </w:pPr>
            <w:r w:rsidRPr="00A75B89">
              <w:t>This unit replaces and is not equivalent to UETDRTS005 Commission power systems metering schemes.</w:t>
            </w:r>
          </w:p>
        </w:tc>
      </w:tr>
    </w:tbl>
    <w:p w:rsidR="00000000" w:rsidRPr="00A75B89" w:rsidP="00A75B89">
      <w:pPr>
        <w:pStyle w:val="NoPaddingFontSize1"/>
      </w:pPr>
    </w:p>
    <w:p w:rsidR="00000000" w:rsidRPr="00A75B89" w:rsidP="00A75B89">
      <w:pPr>
        <w:pStyle w:val="AllowPageBreak"/>
      </w:pPr>
    </w:p>
    <w:p w:rsidR="00000000" w:rsidRPr="00A75B89" w:rsidP="00A75B89">
      <w:pPr>
        <w:pStyle w:val="Heading1"/>
      </w:pPr>
      <w:bookmarkStart w:id="10" w:name="O_1237753"/>
      <w:bookmarkEnd w:id="10"/>
      <w:r w:rsidRPr="00A75B89">
        <w:t>Links</w:t>
      </w:r>
    </w:p>
    <w:p w:rsidR="00000000" w:rsidRPr="00A75B89" w:rsidP="0073244E">
      <w:pPr>
        <w:pStyle w:val="BodyText"/>
      </w:pPr>
      <w:r w:rsidRPr="00A75B89">
        <w:t>Companion Volume Implementation Guides are found in VETNet -</w:t>
      </w:r>
      <w:r w:rsidRPr="00A75B89">
        <w:t xml:space="preserve">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42E7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75B89" w:rsidP="00A75B89"/>
    <w:sectPr w:rsidSect="00A75B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89" w:rsidRPr="0073244E" w:rsidP="007324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44E" w:rsidP="00A75B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244E" w:rsidP="00A75B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244E" w:rsidP="00A75B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4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B89" w:rsidRPr="0073244E" w:rsidP="007324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44E" w:rsidRPr="002D2AF8" w:rsidP="00A75B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UETDRTS032 Commission and maintain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73244E" w:rsidP="00A75B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B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B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B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B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B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B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B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B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B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B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B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B89"/>
  </w:style>
  <w:style w:type="character" w:customStyle="1" w:styleId="Heading1Char">
    <w:name w:val="Heading 1 Char"/>
    <w:basedOn w:val="DefaultParagraphFont"/>
    <w:link w:val="Heading1"/>
    <w:rsid w:val="00A75B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B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B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75B89"/>
    <w:rPr>
      <w:b/>
      <w:spacing w:val="0"/>
    </w:rPr>
  </w:style>
  <w:style w:type="paragraph" w:customStyle="1" w:styleId="SuperHeading">
    <w:name w:val="SuperHeading"/>
    <w:basedOn w:val="Normal"/>
    <w:rsid w:val="00A75B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B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5B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B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B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B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B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B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B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B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B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B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B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B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B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B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B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5B8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5B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B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B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B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B8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B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B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B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B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B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B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B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B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B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B89"/>
    <w:rPr>
      <w:i/>
    </w:rPr>
  </w:style>
  <w:style w:type="paragraph" w:styleId="Caption">
    <w:name w:val="caption"/>
    <w:basedOn w:val="BodyText"/>
    <w:next w:val="Normal"/>
    <w:qFormat/>
    <w:rsid w:val="00A75B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B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B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B89"/>
  </w:style>
  <w:style w:type="paragraph" w:styleId="TableofFigures">
    <w:name w:val="table of figures"/>
    <w:basedOn w:val="Normal"/>
    <w:next w:val="Normal"/>
    <w:semiHidden/>
    <w:rsid w:val="00A75B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B8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5B89"/>
    <w:rPr>
      <w:rFonts w:ascii="Wingdings" w:hAnsi="Wingdings"/>
    </w:rPr>
  </w:style>
  <w:style w:type="paragraph" w:customStyle="1" w:styleId="TableHeading">
    <w:name w:val="Table Heading"/>
    <w:basedOn w:val="HeadingBase"/>
    <w:rsid w:val="00A75B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B89"/>
    <w:rPr>
      <w:color w:val="0033CC"/>
      <w:u w:val="none"/>
    </w:rPr>
  </w:style>
  <w:style w:type="paragraph" w:customStyle="1" w:styleId="BodyTextRight">
    <w:name w:val="Body Text Right"/>
    <w:basedOn w:val="BodyText"/>
    <w:rsid w:val="00A75B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B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B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B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B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B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B89"/>
    <w:rPr>
      <w:sz w:val="32"/>
    </w:rPr>
  </w:style>
  <w:style w:type="paragraph" w:customStyle="1" w:styleId="HeadingProcedure">
    <w:name w:val="Heading Procedure"/>
    <w:basedOn w:val="HeadingBase"/>
    <w:next w:val="Normal"/>
    <w:rsid w:val="00A75B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B89"/>
    <w:pPr>
      <w:spacing w:before="60" w:after="60"/>
    </w:pPr>
  </w:style>
  <w:style w:type="paragraph" w:styleId="ListContinue">
    <w:name w:val="List Continue"/>
    <w:basedOn w:val="List"/>
    <w:rsid w:val="00A75B89"/>
    <w:pPr>
      <w:ind w:firstLine="0"/>
    </w:pPr>
  </w:style>
  <w:style w:type="paragraph" w:customStyle="1" w:styleId="ListNote">
    <w:name w:val="List Note"/>
    <w:basedOn w:val="List"/>
    <w:rsid w:val="00A75B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B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B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B89"/>
    <w:rPr>
      <w:rFonts w:ascii="Courier New" w:hAnsi="Courier New"/>
    </w:rPr>
  </w:style>
  <w:style w:type="paragraph" w:customStyle="1" w:styleId="NoteBullet">
    <w:name w:val="Note Bullet"/>
    <w:basedOn w:val="Note"/>
    <w:rsid w:val="00A75B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B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B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B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B8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5B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B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B89"/>
    <w:rPr>
      <w:b/>
      <w:smallCaps/>
    </w:rPr>
  </w:style>
  <w:style w:type="paragraph" w:customStyle="1" w:styleId="TableListNumber">
    <w:name w:val="Table List Number"/>
    <w:basedOn w:val="ListNumber"/>
    <w:rsid w:val="00A75B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B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B89"/>
    <w:pPr>
      <w:numPr>
        <w:numId w:val="7"/>
      </w:numPr>
    </w:pPr>
  </w:style>
  <w:style w:type="paragraph" w:customStyle="1" w:styleId="ListAlpha2">
    <w:name w:val="List Alpha 2"/>
    <w:basedOn w:val="List2"/>
    <w:rsid w:val="00A75B89"/>
    <w:pPr>
      <w:numPr>
        <w:numId w:val="6"/>
      </w:numPr>
    </w:pPr>
  </w:style>
  <w:style w:type="paragraph" w:styleId="List2">
    <w:name w:val="List 2"/>
    <w:basedOn w:val="BodyText"/>
    <w:rsid w:val="00A75B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B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B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B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B8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B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5B89"/>
    <w:pPr>
      <w:numPr>
        <w:numId w:val="2"/>
      </w:numPr>
    </w:pPr>
  </w:style>
  <w:style w:type="paragraph" w:styleId="ListContinue2">
    <w:name w:val="List Continue 2"/>
    <w:basedOn w:val="List2"/>
    <w:rsid w:val="00A75B89"/>
    <w:pPr>
      <w:ind w:firstLine="0"/>
    </w:pPr>
  </w:style>
  <w:style w:type="paragraph" w:styleId="ListContinue3">
    <w:name w:val="List Continue 3"/>
    <w:basedOn w:val="List3"/>
    <w:rsid w:val="00A75B89"/>
    <w:pPr>
      <w:ind w:left="1021" w:firstLine="0"/>
    </w:pPr>
  </w:style>
  <w:style w:type="paragraph" w:styleId="ListContinue4">
    <w:name w:val="List Continue 4"/>
    <w:basedOn w:val="List4"/>
    <w:rsid w:val="00A75B89"/>
    <w:pPr>
      <w:ind w:firstLine="0"/>
    </w:pPr>
  </w:style>
  <w:style w:type="paragraph" w:styleId="ListContinue5">
    <w:name w:val="List Continue 5"/>
    <w:basedOn w:val="List5"/>
    <w:rsid w:val="00A75B89"/>
    <w:pPr>
      <w:ind w:firstLine="0"/>
    </w:pPr>
  </w:style>
  <w:style w:type="paragraph" w:styleId="ListNumber3">
    <w:name w:val="List Number 3"/>
    <w:basedOn w:val="List3"/>
    <w:rsid w:val="00A75B89"/>
    <w:pPr>
      <w:numPr>
        <w:numId w:val="3"/>
      </w:numPr>
    </w:pPr>
  </w:style>
  <w:style w:type="paragraph" w:styleId="ListNumber4">
    <w:name w:val="List Number 4"/>
    <w:basedOn w:val="List4"/>
    <w:rsid w:val="00A75B89"/>
    <w:pPr>
      <w:numPr>
        <w:numId w:val="4"/>
      </w:numPr>
    </w:pPr>
  </w:style>
  <w:style w:type="paragraph" w:styleId="ListNumber5">
    <w:name w:val="List Number 5"/>
    <w:basedOn w:val="List5"/>
    <w:rsid w:val="00A75B89"/>
    <w:pPr>
      <w:numPr>
        <w:numId w:val="5"/>
      </w:numPr>
    </w:pPr>
  </w:style>
  <w:style w:type="paragraph" w:styleId="BlockText">
    <w:name w:val="Block Text"/>
    <w:basedOn w:val="Normal"/>
    <w:rsid w:val="00A75B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B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B89"/>
    <w:rPr>
      <w:sz w:val="16"/>
      <w:vertAlign w:val="superscript"/>
    </w:rPr>
  </w:style>
  <w:style w:type="character" w:customStyle="1" w:styleId="Symbols">
    <w:name w:val="Symbols"/>
    <w:basedOn w:val="DefaultParagraphFont"/>
    <w:rsid w:val="00A75B89"/>
    <w:rPr>
      <w:rFonts w:ascii="Symbol" w:hAnsi="Symbol"/>
    </w:rPr>
  </w:style>
  <w:style w:type="character" w:customStyle="1" w:styleId="MenuOptions">
    <w:name w:val="Menu Options"/>
    <w:basedOn w:val="DefaultParagraphFont"/>
    <w:rsid w:val="00A75B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B89"/>
    <w:rPr>
      <w:b/>
    </w:rPr>
  </w:style>
  <w:style w:type="character" w:customStyle="1" w:styleId="Underlined">
    <w:name w:val="Underlined"/>
    <w:basedOn w:val="DefaultParagraphFont"/>
    <w:rsid w:val="00A75B89"/>
    <w:rPr>
      <w:u w:val="single"/>
    </w:rPr>
  </w:style>
  <w:style w:type="paragraph" w:customStyle="1" w:styleId="TableBodyTextRight">
    <w:name w:val="Table Body Text Right"/>
    <w:basedOn w:val="TableBodyText"/>
    <w:rsid w:val="00A75B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B89"/>
    <w:rPr>
      <w:sz w:val="18"/>
    </w:rPr>
  </w:style>
  <w:style w:type="paragraph" w:customStyle="1" w:styleId="BodySmallRight">
    <w:name w:val="Body Small Right"/>
    <w:basedOn w:val="BodyTextRight"/>
    <w:rsid w:val="00A75B89"/>
    <w:rPr>
      <w:sz w:val="18"/>
      <w:szCs w:val="18"/>
    </w:rPr>
  </w:style>
  <w:style w:type="paragraph" w:customStyle="1" w:styleId="MarginEdition">
    <w:name w:val="Margin Edition"/>
    <w:basedOn w:val="MarginNote"/>
    <w:rsid w:val="00A75B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B89"/>
    <w:rPr>
      <w:sz w:val="2"/>
      <w:szCs w:val="2"/>
    </w:rPr>
  </w:style>
  <w:style w:type="character" w:customStyle="1" w:styleId="Small">
    <w:name w:val="Small"/>
    <w:basedOn w:val="DefaultParagraphFont"/>
    <w:rsid w:val="00A75B89"/>
    <w:rPr>
      <w:sz w:val="16"/>
    </w:rPr>
  </w:style>
  <w:style w:type="paragraph" w:customStyle="1" w:styleId="WideTable">
    <w:name w:val="Wide Table"/>
    <w:basedOn w:val="Normal"/>
    <w:rsid w:val="00A75B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B89"/>
  </w:style>
  <w:style w:type="paragraph" w:styleId="Quote">
    <w:name w:val="Quote"/>
    <w:basedOn w:val="Heading1"/>
    <w:link w:val="QuoteChar"/>
    <w:qFormat/>
    <w:rsid w:val="00A75B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B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B89"/>
    <w:pPr>
      <w:pageBreakBefore/>
    </w:pPr>
  </w:style>
  <w:style w:type="paragraph" w:customStyle="1" w:styleId="Border">
    <w:name w:val="Border"/>
    <w:basedOn w:val="Normal"/>
    <w:qFormat/>
    <w:rsid w:val="00A75B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B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B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B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B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B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B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B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B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B89"/>
    <w:rPr>
      <w:u w:val="single"/>
    </w:rPr>
  </w:style>
  <w:style w:type="character" w:customStyle="1" w:styleId="BoldandItalics">
    <w:name w:val="Bold and Italics"/>
    <w:qFormat/>
    <w:rsid w:val="00A75B89"/>
    <w:rPr>
      <w:b/>
      <w:i/>
      <w:u w:val="none"/>
    </w:rPr>
  </w:style>
  <w:style w:type="paragraph" w:styleId="BalloonText">
    <w:name w:val="Balloon Text"/>
    <w:basedOn w:val="Normal"/>
    <w:link w:val="BalloonTextChar"/>
    <w:rsid w:val="00A75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B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B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B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B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B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B89"/>
    <w:pPr>
      <w:spacing w:before="0" w:after="0"/>
    </w:pPr>
  </w:style>
  <w:style w:type="paragraph" w:customStyle="1" w:styleId="BodyTextBold">
    <w:name w:val="Body Text Bold"/>
    <w:basedOn w:val="BodyText"/>
    <w:qFormat/>
    <w:rsid w:val="00A75B89"/>
    <w:rPr>
      <w:b/>
    </w:rPr>
  </w:style>
  <w:style w:type="character" w:styleId="Hyperlink">
    <w:name w:val="Hyperlink"/>
    <w:basedOn w:val="DefaultParagraphFont"/>
    <w:uiPriority w:val="99"/>
    <w:unhideWhenUsed/>
    <w:rsid w:val="007324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3965</Characters>
  <Application>Microsoft Office Word</Application>
  <DocSecurity>0</DocSecurity>
  <Lines>180</Lines>
  <Paragraphs>99</Paragraphs>
  <ScaleCrop>false</ScaleCrop>
  <Company>Author-it Software Corporation Ltd.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UETDRTS032 Commission and maintain metering schemes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2022-12-06T06:50:00Z</dcterms:created>
  <dcterms:modified xsi:type="dcterms:W3CDTF">2022-12-06T06:50:00Z</dcterms:modified>
</cp:coreProperties>
</file>