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6109" w:rsidP="009861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UETDRTS031 Commission and maintain energy/revenue metering schemes</w:t>
      </w:r>
      <w:r>
        <w:fldChar w:fldCharType="end"/>
      </w:r>
    </w:p>
    <w:p w:rsidR="00986109" w:rsidP="00986109">
      <w:pPr>
        <w:pStyle w:val="Version"/>
        <w:sectPr w:rsidSect="00CE39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911" w:rsidP="00CE3911">
      <w:pPr>
        <w:pStyle w:val="SuperHeading"/>
      </w:pPr>
      <w:r w:rsidRPr="00CE3911">
        <w:t>UETDRTS031 Commission and maintain energy/revenue metering schemes</w:t>
      </w:r>
    </w:p>
    <w:p w:rsidR="00000000" w:rsidRPr="00CE3911" w:rsidP="00CE3911">
      <w:pPr>
        <w:pStyle w:val="Heading1"/>
      </w:pPr>
      <w:bookmarkStart w:id="1" w:name="O_1237719"/>
      <w:bookmarkEnd w:id="1"/>
      <w:r w:rsidRPr="00CE39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 w:rsidP="00CE3911">
            <w:pPr>
              <w:pStyle w:val="BodyText"/>
            </w:pPr>
            <w:r w:rsidRPr="00CE3911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E3911" w:rsidP="00CE3911">
      <w:pPr>
        <w:pStyle w:val="NoPaddingFontSize1"/>
      </w:pPr>
    </w:p>
    <w:p w:rsidR="00000000" w:rsidRPr="00CE3911" w:rsidP="00CE3911">
      <w:pPr>
        <w:pStyle w:val="AllowPageBreak"/>
      </w:pPr>
    </w:p>
    <w:p w:rsidR="00000000" w:rsidRPr="00CE3911" w:rsidP="00CE3911">
      <w:pPr>
        <w:pStyle w:val="Heading1"/>
      </w:pPr>
      <w:bookmarkStart w:id="2" w:name="O_1237720"/>
      <w:bookmarkEnd w:id="2"/>
      <w:r w:rsidRPr="00CE39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 w:rsidP="00CE3911">
            <w:pPr>
              <w:pStyle w:val="BodyText"/>
            </w:pPr>
            <w:r w:rsidRPr="00CE3911">
              <w:t>This unit includes the skills and knowledge required to commission and maintain energy/revenue metering schemes in the electricity supply industry (ESI).</w:t>
            </w:r>
          </w:p>
          <w:p w:rsidR="00000000" w:rsidRPr="00CE3911" w:rsidP="00CE3911">
            <w:pPr>
              <w:pStyle w:val="BodyText"/>
            </w:pPr>
            <w:r w:rsidRPr="00CE3911">
              <w:t>It includes types, application and characteristics of instrument trans</w:t>
            </w:r>
            <w:r w:rsidRPr="00CE3911">
              <w:t>formers, procedures to analyse data for best outcomes, procedures to verify correct installation and meter function, and actual meter energy data verification.</w:t>
            </w:r>
          </w:p>
          <w:p w:rsidR="00000000" w:rsidRPr="00CE3911" w:rsidP="00CE3911">
            <w:pPr>
              <w:pStyle w:val="BodyText"/>
            </w:pPr>
            <w:r w:rsidRPr="00CE3911">
              <w:t>It also includes procedures to perform activities in relation to metering equipment, including i</w:t>
            </w:r>
            <w:r w:rsidRPr="00CE3911">
              <w:t>solation, inspection, monitoring, testing, adjustment, calibration, and functional checks.</w:t>
            </w:r>
          </w:p>
          <w:p w:rsidR="00000000" w:rsidRPr="00CE3911" w:rsidP="00CE3911">
            <w:pPr>
              <w:pStyle w:val="BodyText"/>
            </w:pPr>
            <w:r w:rsidRPr="00CE3911">
              <w:t>The application of the skills and knowledge described in this unit may require a licence/registration to practice in the workplace.</w:t>
            </w:r>
          </w:p>
          <w:p w:rsidR="00000000" w:rsidRPr="00CE3911" w:rsidP="00CE3911">
            <w:pPr>
              <w:pStyle w:val="BodyText"/>
            </w:pPr>
            <w:r w:rsidRPr="00CE3911">
              <w:t>Other conditions may also apply u</w:t>
            </w:r>
            <w:r w:rsidRPr="00CE3911">
              <w:t>nder state and territory legislative and regulatory licensing requirements which must be confirmed prior to commencing this unit.</w:t>
            </w:r>
          </w:p>
        </w:tc>
      </w:tr>
    </w:tbl>
    <w:p w:rsidR="00000000" w:rsidRPr="00CE3911" w:rsidP="00CE3911">
      <w:pPr>
        <w:pStyle w:val="NoPaddingFontSize1"/>
      </w:pPr>
    </w:p>
    <w:p w:rsidR="00000000" w:rsidRPr="00CE3911" w:rsidP="00CE3911">
      <w:pPr>
        <w:pStyle w:val="AllowPageBreak"/>
      </w:pPr>
    </w:p>
    <w:p w:rsidR="00000000" w:rsidRPr="00CE3911" w:rsidP="00CE3911">
      <w:pPr>
        <w:pStyle w:val="Heading1"/>
      </w:pPr>
      <w:bookmarkStart w:id="3" w:name="O_1237721"/>
      <w:bookmarkEnd w:id="3"/>
      <w:r w:rsidRPr="00CE39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 w:rsidP="00CE3911">
            <w:pPr>
              <w:pStyle w:val="BodyText"/>
            </w:pPr>
            <w:r w:rsidRPr="00CE3911">
              <w:t>UEECD0007 Apply work health and safety regulations, codes and practices in the workpla</w:t>
            </w:r>
            <w:r w:rsidRPr="00CE3911">
              <w:t xml:space="preserve">ce </w:t>
            </w:r>
          </w:p>
          <w:p w:rsidR="00000000" w:rsidRPr="00CE3911" w:rsidP="00CE3911">
            <w:pPr>
              <w:pStyle w:val="BodyText"/>
            </w:pPr>
            <w:r w:rsidRPr="00CE3911">
              <w:t>UEECD0010 Compile and produce an energy sector detailed report</w:t>
            </w:r>
          </w:p>
          <w:p w:rsidR="00000000" w:rsidRPr="00CE3911" w:rsidP="00CE3911">
            <w:pPr>
              <w:pStyle w:val="BodyText"/>
            </w:pPr>
            <w:r w:rsidRPr="00CE3911">
              <w:t xml:space="preserve">UEECD0019 Fabricate, assemble and dismantle utilities industry components </w:t>
            </w:r>
          </w:p>
          <w:p w:rsidR="00000000" w:rsidRPr="00CE3911" w:rsidP="00CE3911">
            <w:pPr>
              <w:pStyle w:val="BodyText"/>
            </w:pPr>
            <w:r w:rsidRPr="00CE3911">
              <w:t>UEECD0044 Solve problems in multiple path circuits</w:t>
            </w:r>
          </w:p>
          <w:p w:rsidR="00000000" w:rsidRPr="00CE3911" w:rsidP="00CE3911">
            <w:pPr>
              <w:pStyle w:val="BodyText"/>
            </w:pPr>
            <w:r w:rsidRPr="00CE3911">
              <w:t>UEECD0046 Solve problems in single path circuits</w:t>
            </w:r>
          </w:p>
          <w:p w:rsidR="00000000" w:rsidRPr="00CE3911" w:rsidP="00CE3911">
            <w:pPr>
              <w:pStyle w:val="BodyText"/>
            </w:pPr>
            <w:r w:rsidRPr="00CE3911">
              <w:t xml:space="preserve">UEECD0051 Use </w:t>
            </w:r>
            <w:r w:rsidRPr="00CE3911">
              <w:t xml:space="preserve">drawings, diagrams, schedules, standards, codes and specifications </w:t>
            </w:r>
          </w:p>
          <w:p w:rsidR="00000000" w:rsidRPr="00CE3911" w:rsidP="00CE3911">
            <w:pPr>
              <w:pStyle w:val="BodyText"/>
            </w:pPr>
            <w:r w:rsidRPr="00CE3911">
              <w:t xml:space="preserve">UEEEL0020 Solve problems in low voltage a.c. circuits </w:t>
            </w:r>
          </w:p>
          <w:p w:rsidR="00000000" w:rsidRPr="00CE3911" w:rsidP="00CE3911">
            <w:pPr>
              <w:pStyle w:val="BodyText"/>
            </w:pPr>
            <w:r w:rsidRPr="00CE3911">
              <w:t>UEEEL0021 Solve problems in magnetic and electromagnetic devices</w:t>
            </w:r>
          </w:p>
          <w:p w:rsidR="00000000" w:rsidRPr="00CE3911" w:rsidP="00CE3911">
            <w:pPr>
              <w:pStyle w:val="BodyText"/>
            </w:pPr>
            <w:r w:rsidRPr="00CE3911">
              <w:t>UETDREL005 Work safely in the vicinity of live electrical apparatus</w:t>
            </w:r>
          </w:p>
          <w:p w:rsidR="00000000" w:rsidRPr="00CE3911" w:rsidP="00CE3911">
            <w:pPr>
              <w:pStyle w:val="BodyText"/>
            </w:pPr>
            <w:r w:rsidRPr="00CE3911">
              <w:t>UETDRTS036 Develop secondary protection and control scheme isolation and restoration documents</w:t>
            </w:r>
          </w:p>
        </w:tc>
      </w:tr>
    </w:tbl>
    <w:p w:rsidR="00000000" w:rsidRPr="00CE3911" w:rsidP="00CE3911">
      <w:pPr>
        <w:pStyle w:val="NoPaddingFontSize1"/>
      </w:pPr>
    </w:p>
    <w:p w:rsidR="00000000" w:rsidRPr="00CE3911" w:rsidP="00CE3911">
      <w:pPr>
        <w:pStyle w:val="AllowPageBreak"/>
      </w:pPr>
    </w:p>
    <w:p w:rsidR="00000000" w:rsidRPr="00CE3911" w:rsidP="00CE3911">
      <w:pPr>
        <w:pStyle w:val="Heading1"/>
      </w:pPr>
      <w:bookmarkStart w:id="4" w:name="O_1237722"/>
      <w:bookmarkEnd w:id="4"/>
      <w:r w:rsidRPr="00CE39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 w:rsidP="00CE3911">
            <w:pPr>
              <w:pStyle w:val="BodyText"/>
            </w:pPr>
            <w:r w:rsidRPr="00CE3911">
              <w:t>Testing</w:t>
            </w:r>
          </w:p>
        </w:tc>
      </w:tr>
    </w:tbl>
    <w:p w:rsidR="00000000" w:rsidRPr="00CE3911" w:rsidP="00CE3911">
      <w:pPr>
        <w:pStyle w:val="NoPaddingFontSize1"/>
      </w:pPr>
    </w:p>
    <w:p w:rsidR="00000000" w:rsidRPr="00CE3911" w:rsidP="00CE3911">
      <w:pPr>
        <w:pStyle w:val="AllowPageBreak"/>
      </w:pPr>
    </w:p>
    <w:p w:rsidR="00000000" w:rsidRPr="00CE3911" w:rsidP="00CE3911">
      <w:pPr>
        <w:pStyle w:val="Heading1"/>
      </w:pPr>
      <w:bookmarkStart w:id="5" w:name="O_1237723"/>
      <w:bookmarkEnd w:id="5"/>
      <w:r w:rsidRPr="00CE39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 w:rsidP="00CE3911">
            <w:pPr>
              <w:pStyle w:val="BodyText"/>
            </w:pPr>
            <w:r w:rsidRPr="00CE3911">
              <w:t>Not applicable.</w:t>
            </w:r>
          </w:p>
        </w:tc>
      </w:tr>
    </w:tbl>
    <w:p w:rsidR="00000000" w:rsidRPr="00CE3911" w:rsidP="00CE3911">
      <w:pPr>
        <w:pStyle w:val="NoPaddingFontSize1"/>
      </w:pPr>
    </w:p>
    <w:p w:rsidR="00000000" w:rsidRPr="00CE3911" w:rsidP="00CE3911">
      <w:pPr>
        <w:pStyle w:val="AllowPageBreak"/>
      </w:pPr>
    </w:p>
    <w:p w:rsidR="00000000" w:rsidRPr="00CE3911" w:rsidP="00CE3911">
      <w:pPr>
        <w:pStyle w:val="Heading1"/>
      </w:pPr>
      <w:bookmarkStart w:id="6" w:name="O_1237724"/>
      <w:bookmarkEnd w:id="6"/>
      <w:r w:rsidRPr="00CE391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 w:rsidP="00CE3911">
            <w:pPr>
              <w:pStyle w:val="BodyText"/>
            </w:pPr>
            <w:r w:rsidRPr="00CE391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rPr>
                <w:rStyle w:val="SpecialBold"/>
              </w:rPr>
              <w:t>PERFORMANCE CRITERIA</w:t>
            </w:r>
          </w:p>
        </w:tc>
      </w:tr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t>Performance criteria describe the performance needed to demonstrate achievement of the element.</w:t>
            </w:r>
          </w:p>
        </w:tc>
      </w:tr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 w:rsidP="00CE3911">
            <w:pPr>
              <w:pStyle w:val="BodyText"/>
            </w:pPr>
            <w:r w:rsidRPr="00CE391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 w:rsidP="00CE3911">
            <w:pPr>
              <w:pStyle w:val="BodyText"/>
            </w:pPr>
            <w:r w:rsidRPr="00CE3911">
              <w:rPr>
                <w:rStyle w:val="SpecialBold"/>
              </w:rPr>
              <w:t>Prepare to commission and maintain energy/revenue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t>Legislation, regul</w:t>
            </w:r>
            <w:r w:rsidRPr="00CE3911">
              <w:t>ations, standards, codes of practice and organisational workplace requirements for the work to be done are reviewed and determined</w:t>
            </w:r>
          </w:p>
        </w:tc>
      </w:tr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t>Purpose for commissioning and maintenance is established after data is analysed and expected outcomes of the work are confirmed with appropriate personnel</w:t>
            </w:r>
          </w:p>
        </w:tc>
      </w:tr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t xml:space="preserve">Work plan is determined and communicated with relevant personnel in accordance with workplace </w:t>
            </w:r>
            <w:r w:rsidRPr="00CE3911">
              <w:t>requirements</w:t>
            </w:r>
          </w:p>
        </w:tc>
      </w:tr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t>Commissioning and maintenance procedures are established in accordance with workplace requirements</w:t>
            </w:r>
          </w:p>
        </w:tc>
      </w:tr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t>Plant, tools, equipment and personal protective equipment (PPE) required for work are determined, obtained and confirmed in workin</w:t>
            </w:r>
            <w:r w:rsidRPr="00CE3911">
              <w:t>g order</w:t>
            </w:r>
          </w:p>
        </w:tc>
      </w:tr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t>Work roles and tasks are allocated according to individual competencies and workplace requirements</w:t>
            </w:r>
          </w:p>
        </w:tc>
      </w:tr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t>Work is prioritised and sequenced for completion in accordance with work plan and workplace requirements</w:t>
            </w:r>
          </w:p>
        </w:tc>
      </w:tr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t>Liaison and communication issues with others/authorised personnel, authorities, clients and customers are resolved and activities coordinated to carry out work</w:t>
            </w:r>
          </w:p>
        </w:tc>
      </w:tr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t xml:space="preserve">Work permits are determined in accordance with </w:t>
            </w:r>
            <w:r w:rsidRPr="00CE3911">
              <w:t xml:space="preserve">workplace requirements </w:t>
            </w:r>
          </w:p>
        </w:tc>
      </w:tr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t>Hazards ar</w:t>
            </w:r>
            <w:r w:rsidRPr="00CE3911">
              <w:t>e identified, risks assessed, and control measures identified and applied</w:t>
            </w:r>
          </w:p>
        </w:tc>
      </w:tr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 w:rsidP="00CE3911">
            <w:pPr>
              <w:pStyle w:val="BodyText"/>
            </w:pPr>
            <w:r w:rsidRPr="00CE391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 w:rsidP="00CE3911">
            <w:pPr>
              <w:pStyle w:val="BodyText"/>
            </w:pPr>
            <w:r w:rsidRPr="00CE3911">
              <w:rPr>
                <w:rStyle w:val="SpecialBold"/>
              </w:rPr>
              <w:t>Commission and maintain energy/revenue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t>Legislation, regulations, standards, codes of practice and organisational workplace requirements for the work to be performed are applied and monitored</w:t>
            </w:r>
          </w:p>
        </w:tc>
      </w:tr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t>Lifting, working at heights, working in confined spaces and the use of plant, tools, equipment and PPE are carried out in accordance with workplace requirements</w:t>
            </w:r>
          </w:p>
        </w:tc>
      </w:tr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t>Hazard control measures are monitored in accordance with workplace requirements</w:t>
            </w:r>
          </w:p>
        </w:tc>
      </w:tr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t>I</w:t>
            </w:r>
            <w:r w:rsidRPr="00CE3911">
              <w:t>ncidents or unplanned events are responded to in accordance with workplace requirements</w:t>
            </w:r>
          </w:p>
        </w:tc>
      </w:tr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t>Energy/revenue metering schemes are commissioned and maintained in accordance with workplace requirements</w:t>
            </w:r>
          </w:p>
        </w:tc>
      </w:tr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t>Quality checks of work are undertaken in accordance with work plan and workplace requirements</w:t>
            </w:r>
          </w:p>
        </w:tc>
      </w:tr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 w:rsidP="00CE3911">
            <w:pPr>
              <w:pStyle w:val="BodyText"/>
            </w:pPr>
            <w:r w:rsidRPr="00CE391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 w:rsidP="00CE3911">
            <w:pPr>
              <w:pStyle w:val="BodyText"/>
            </w:pPr>
            <w:r w:rsidRPr="00CE3911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t>Completed work is checked for compliance against the work plan and workplace requirements</w:t>
            </w:r>
          </w:p>
        </w:tc>
      </w:tr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911">
            <w:pPr>
              <w:pStyle w:val="BodyText"/>
              <w:rPr>
                <w:lang w:val="en-NZ"/>
              </w:rPr>
            </w:pPr>
            <w:r w:rsidRPr="00CE391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 w:rsidP="00CE3911">
            <w:pPr>
              <w:pStyle w:val="BodyText"/>
            </w:pPr>
            <w:r w:rsidRPr="00CE3911">
              <w:t xml:space="preserve">Work records, reports and </w:t>
            </w:r>
            <w:r w:rsidRPr="00CE3911">
              <w:t>documentation are completed, and where relevant, appropriate personnel notified in accordance with workplace requirements</w:t>
            </w:r>
          </w:p>
        </w:tc>
      </w:tr>
    </w:tbl>
    <w:p w:rsidR="00000000" w:rsidRPr="00CE3911" w:rsidP="00CE3911">
      <w:pPr>
        <w:pStyle w:val="NoPaddingFontSize1"/>
      </w:pPr>
    </w:p>
    <w:p w:rsidR="00000000" w:rsidRPr="00CE3911" w:rsidP="00CE3911">
      <w:pPr>
        <w:pStyle w:val="AllowPageBreak"/>
      </w:pPr>
    </w:p>
    <w:p w:rsidR="00000000" w:rsidRPr="00CE3911" w:rsidP="00CE3911">
      <w:pPr>
        <w:pStyle w:val="Heading1"/>
      </w:pPr>
      <w:bookmarkStart w:id="7" w:name="O_1237725"/>
      <w:bookmarkEnd w:id="7"/>
      <w:r w:rsidRPr="00CE39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 w:rsidP="00CE3911">
            <w:pPr>
              <w:pStyle w:val="BodyText"/>
            </w:pPr>
            <w:r w:rsidRPr="00CE3911">
              <w:t>Foundation skills essential to performance are explicit in the performance criteria of this uni</w:t>
            </w:r>
            <w:r w:rsidRPr="00CE3911">
              <w:t>t of competency.</w:t>
            </w:r>
          </w:p>
        </w:tc>
      </w:tr>
    </w:tbl>
    <w:p w:rsidR="00000000" w:rsidRPr="00CE3911" w:rsidP="00CE3911">
      <w:pPr>
        <w:pStyle w:val="NoPaddingFontSize1"/>
      </w:pPr>
    </w:p>
    <w:p w:rsidR="00000000" w:rsidRPr="00CE3911" w:rsidP="00CE3911">
      <w:pPr>
        <w:pStyle w:val="AllowPageBreak"/>
      </w:pPr>
    </w:p>
    <w:p w:rsidR="00000000" w:rsidRPr="00CE3911" w:rsidP="00CE3911">
      <w:pPr>
        <w:pStyle w:val="Heading1"/>
      </w:pPr>
      <w:bookmarkStart w:id="8" w:name="O_1237726"/>
      <w:bookmarkEnd w:id="8"/>
      <w:r w:rsidRPr="00CE39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 w:rsidP="00CE3911">
            <w:pPr>
              <w:pStyle w:val="BodyText"/>
            </w:pPr>
            <w:r w:rsidRPr="00CE3911">
              <w:t>Range is restricted to essential operating conditions and any other variables essential to the work environment.</w:t>
            </w:r>
          </w:p>
          <w:p w:rsidR="00000000" w:rsidRPr="00CE3911" w:rsidP="00CE3911">
            <w:pPr>
              <w:pStyle w:val="BodyText"/>
            </w:pPr>
            <w:r w:rsidRPr="00CE3911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CE3911" w:rsidP="00CE3911">
      <w:pPr>
        <w:pStyle w:val="NoPaddingFontSize1"/>
      </w:pPr>
    </w:p>
    <w:p w:rsidR="00000000" w:rsidRPr="00CE3911" w:rsidP="00CE3911">
      <w:pPr>
        <w:pStyle w:val="AllowPageBreak"/>
      </w:pPr>
    </w:p>
    <w:p w:rsidR="00000000" w:rsidRPr="00CE3911" w:rsidP="00CE3911">
      <w:pPr>
        <w:pStyle w:val="Heading1"/>
      </w:pPr>
      <w:bookmarkStart w:id="9" w:name="O_1237727"/>
      <w:bookmarkEnd w:id="9"/>
      <w:r w:rsidRPr="00CE39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3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911" w:rsidP="00CE3911">
            <w:pPr>
              <w:pStyle w:val="BodyText"/>
            </w:pPr>
            <w:r w:rsidRPr="00CE3911">
              <w:t>This unit replaces and is not equivalent to UETDRTS002 Commiss</w:t>
            </w:r>
            <w:r w:rsidRPr="00CE3911">
              <w:t>ion energy/revenue metering schemes.</w:t>
            </w:r>
          </w:p>
        </w:tc>
      </w:tr>
    </w:tbl>
    <w:p w:rsidR="00000000" w:rsidRPr="00CE3911" w:rsidP="00CE3911">
      <w:pPr>
        <w:pStyle w:val="NoPaddingFontSize1"/>
      </w:pPr>
    </w:p>
    <w:p w:rsidR="00000000" w:rsidRPr="00CE3911" w:rsidP="00CE3911">
      <w:pPr>
        <w:pStyle w:val="AllowPageBreak"/>
      </w:pPr>
    </w:p>
    <w:p w:rsidR="00000000" w:rsidRPr="00CE3911" w:rsidP="00CE3911">
      <w:pPr>
        <w:pStyle w:val="Heading1"/>
      </w:pPr>
      <w:bookmarkStart w:id="10" w:name="O_1237734"/>
      <w:bookmarkEnd w:id="10"/>
      <w:r w:rsidRPr="00CE3911">
        <w:t>Links</w:t>
      </w:r>
    </w:p>
    <w:p w:rsidR="00000000" w:rsidRPr="00CE3911" w:rsidP="00986109">
      <w:pPr>
        <w:pStyle w:val="BodyText"/>
      </w:pPr>
      <w:r w:rsidRPr="00CE39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D26F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E3911" w:rsidP="00CE3911"/>
    <w:sectPr w:rsidSect="00CE39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9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911" w:rsidRPr="00986109" w:rsidP="009861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9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109" w:rsidP="00CE39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6109" w:rsidP="00CE39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86109" w:rsidP="00CE39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9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1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911" w:rsidRPr="00986109" w:rsidP="009861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9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109" w:rsidRPr="002D2AF8" w:rsidP="00CE39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UETDRTS031 Commission and maintain energy/revenue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986109" w:rsidP="00CE39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9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9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9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9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9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9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9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9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9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9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9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911"/>
  </w:style>
  <w:style w:type="character" w:customStyle="1" w:styleId="Heading1Char">
    <w:name w:val="Heading 1 Char"/>
    <w:basedOn w:val="DefaultParagraphFont"/>
    <w:link w:val="Heading1"/>
    <w:rsid w:val="00CE39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9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91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E3911"/>
    <w:rPr>
      <w:b/>
      <w:spacing w:val="0"/>
    </w:rPr>
  </w:style>
  <w:style w:type="paragraph" w:customStyle="1" w:styleId="SuperHeading">
    <w:name w:val="SuperHeading"/>
    <w:basedOn w:val="Normal"/>
    <w:rsid w:val="00CE39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9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39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9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9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9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9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9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9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9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9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9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9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9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9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9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9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9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9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9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9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39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39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39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9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9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39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39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9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9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9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9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9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9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9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9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3911"/>
    <w:rPr>
      <w:i/>
    </w:rPr>
  </w:style>
  <w:style w:type="paragraph" w:styleId="Caption">
    <w:name w:val="caption"/>
    <w:basedOn w:val="BodyText"/>
    <w:next w:val="Normal"/>
    <w:qFormat/>
    <w:rsid w:val="00CE39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9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9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911"/>
  </w:style>
  <w:style w:type="paragraph" w:styleId="TableofFigures">
    <w:name w:val="table of figures"/>
    <w:basedOn w:val="Normal"/>
    <w:next w:val="Normal"/>
    <w:semiHidden/>
    <w:rsid w:val="00CE39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9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3911"/>
    <w:rPr>
      <w:rFonts w:ascii="Wingdings" w:hAnsi="Wingdings"/>
    </w:rPr>
  </w:style>
  <w:style w:type="paragraph" w:customStyle="1" w:styleId="TableHeading">
    <w:name w:val="Table Heading"/>
    <w:basedOn w:val="HeadingBase"/>
    <w:rsid w:val="00CE39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911"/>
    <w:rPr>
      <w:color w:val="0033CC"/>
      <w:u w:val="none"/>
    </w:rPr>
  </w:style>
  <w:style w:type="paragraph" w:customStyle="1" w:styleId="BodyTextRight">
    <w:name w:val="Body Text Right"/>
    <w:basedOn w:val="BodyText"/>
    <w:rsid w:val="00CE39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9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9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9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9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9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911"/>
    <w:rPr>
      <w:sz w:val="32"/>
    </w:rPr>
  </w:style>
  <w:style w:type="paragraph" w:customStyle="1" w:styleId="HeadingProcedure">
    <w:name w:val="Heading Procedure"/>
    <w:basedOn w:val="HeadingBase"/>
    <w:next w:val="Normal"/>
    <w:rsid w:val="00CE39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911"/>
    <w:pPr>
      <w:spacing w:before="60" w:after="60"/>
    </w:pPr>
  </w:style>
  <w:style w:type="paragraph" w:styleId="ListContinue">
    <w:name w:val="List Continue"/>
    <w:basedOn w:val="List"/>
    <w:rsid w:val="00CE3911"/>
    <w:pPr>
      <w:ind w:firstLine="0"/>
    </w:pPr>
  </w:style>
  <w:style w:type="paragraph" w:customStyle="1" w:styleId="ListNote">
    <w:name w:val="List Note"/>
    <w:basedOn w:val="List"/>
    <w:rsid w:val="00CE39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9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9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911"/>
    <w:rPr>
      <w:rFonts w:ascii="Courier New" w:hAnsi="Courier New"/>
    </w:rPr>
  </w:style>
  <w:style w:type="paragraph" w:customStyle="1" w:styleId="NoteBullet">
    <w:name w:val="Note Bullet"/>
    <w:basedOn w:val="Note"/>
    <w:rsid w:val="00CE39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9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9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9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9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39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9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911"/>
    <w:rPr>
      <w:b/>
      <w:smallCaps/>
    </w:rPr>
  </w:style>
  <w:style w:type="paragraph" w:customStyle="1" w:styleId="TableListNumber">
    <w:name w:val="Table List Number"/>
    <w:basedOn w:val="ListNumber"/>
    <w:rsid w:val="00CE39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9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911"/>
    <w:pPr>
      <w:numPr>
        <w:numId w:val="7"/>
      </w:numPr>
    </w:pPr>
  </w:style>
  <w:style w:type="paragraph" w:customStyle="1" w:styleId="ListAlpha2">
    <w:name w:val="List Alpha 2"/>
    <w:basedOn w:val="List2"/>
    <w:rsid w:val="00CE3911"/>
    <w:pPr>
      <w:numPr>
        <w:numId w:val="6"/>
      </w:numPr>
    </w:pPr>
  </w:style>
  <w:style w:type="paragraph" w:styleId="List2">
    <w:name w:val="List 2"/>
    <w:basedOn w:val="BodyText"/>
    <w:rsid w:val="00CE39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9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9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9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9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9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3911"/>
    <w:pPr>
      <w:numPr>
        <w:numId w:val="2"/>
      </w:numPr>
    </w:pPr>
  </w:style>
  <w:style w:type="paragraph" w:styleId="ListContinue2">
    <w:name w:val="List Continue 2"/>
    <w:basedOn w:val="List2"/>
    <w:rsid w:val="00CE3911"/>
    <w:pPr>
      <w:ind w:firstLine="0"/>
    </w:pPr>
  </w:style>
  <w:style w:type="paragraph" w:styleId="ListContinue3">
    <w:name w:val="List Continue 3"/>
    <w:basedOn w:val="List3"/>
    <w:rsid w:val="00CE3911"/>
    <w:pPr>
      <w:ind w:left="1021" w:firstLine="0"/>
    </w:pPr>
  </w:style>
  <w:style w:type="paragraph" w:styleId="ListContinue4">
    <w:name w:val="List Continue 4"/>
    <w:basedOn w:val="List4"/>
    <w:rsid w:val="00CE3911"/>
    <w:pPr>
      <w:ind w:firstLine="0"/>
    </w:pPr>
  </w:style>
  <w:style w:type="paragraph" w:styleId="ListContinue5">
    <w:name w:val="List Continue 5"/>
    <w:basedOn w:val="List5"/>
    <w:rsid w:val="00CE3911"/>
    <w:pPr>
      <w:ind w:firstLine="0"/>
    </w:pPr>
  </w:style>
  <w:style w:type="paragraph" w:styleId="ListNumber3">
    <w:name w:val="List Number 3"/>
    <w:basedOn w:val="List3"/>
    <w:rsid w:val="00CE3911"/>
    <w:pPr>
      <w:numPr>
        <w:numId w:val="3"/>
      </w:numPr>
    </w:pPr>
  </w:style>
  <w:style w:type="paragraph" w:styleId="ListNumber4">
    <w:name w:val="List Number 4"/>
    <w:basedOn w:val="List4"/>
    <w:rsid w:val="00CE3911"/>
    <w:pPr>
      <w:numPr>
        <w:numId w:val="4"/>
      </w:numPr>
    </w:pPr>
  </w:style>
  <w:style w:type="paragraph" w:styleId="ListNumber5">
    <w:name w:val="List Number 5"/>
    <w:basedOn w:val="List5"/>
    <w:rsid w:val="00CE3911"/>
    <w:pPr>
      <w:numPr>
        <w:numId w:val="5"/>
      </w:numPr>
    </w:pPr>
  </w:style>
  <w:style w:type="paragraph" w:styleId="BlockText">
    <w:name w:val="Block Text"/>
    <w:basedOn w:val="Normal"/>
    <w:rsid w:val="00CE39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9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911"/>
    <w:rPr>
      <w:sz w:val="16"/>
      <w:vertAlign w:val="superscript"/>
    </w:rPr>
  </w:style>
  <w:style w:type="character" w:customStyle="1" w:styleId="Symbols">
    <w:name w:val="Symbols"/>
    <w:basedOn w:val="DefaultParagraphFont"/>
    <w:rsid w:val="00CE3911"/>
    <w:rPr>
      <w:rFonts w:ascii="Symbol" w:hAnsi="Symbol"/>
    </w:rPr>
  </w:style>
  <w:style w:type="character" w:customStyle="1" w:styleId="MenuOptions">
    <w:name w:val="Menu Options"/>
    <w:basedOn w:val="DefaultParagraphFont"/>
    <w:rsid w:val="00CE39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911"/>
    <w:rPr>
      <w:b/>
    </w:rPr>
  </w:style>
  <w:style w:type="character" w:customStyle="1" w:styleId="Underlined">
    <w:name w:val="Underlined"/>
    <w:basedOn w:val="DefaultParagraphFont"/>
    <w:rsid w:val="00CE3911"/>
    <w:rPr>
      <w:u w:val="single"/>
    </w:rPr>
  </w:style>
  <w:style w:type="paragraph" w:customStyle="1" w:styleId="TableBodyTextRight">
    <w:name w:val="Table Body Text Right"/>
    <w:basedOn w:val="TableBodyText"/>
    <w:rsid w:val="00CE39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911"/>
    <w:rPr>
      <w:sz w:val="18"/>
    </w:rPr>
  </w:style>
  <w:style w:type="paragraph" w:customStyle="1" w:styleId="BodySmallRight">
    <w:name w:val="Body Small Right"/>
    <w:basedOn w:val="BodyTextRight"/>
    <w:rsid w:val="00CE3911"/>
    <w:rPr>
      <w:sz w:val="18"/>
      <w:szCs w:val="18"/>
    </w:rPr>
  </w:style>
  <w:style w:type="paragraph" w:customStyle="1" w:styleId="MarginEdition">
    <w:name w:val="Margin Edition"/>
    <w:basedOn w:val="MarginNote"/>
    <w:rsid w:val="00CE39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911"/>
    <w:rPr>
      <w:sz w:val="2"/>
      <w:szCs w:val="2"/>
    </w:rPr>
  </w:style>
  <w:style w:type="character" w:customStyle="1" w:styleId="Small">
    <w:name w:val="Small"/>
    <w:basedOn w:val="DefaultParagraphFont"/>
    <w:rsid w:val="00CE3911"/>
    <w:rPr>
      <w:sz w:val="16"/>
    </w:rPr>
  </w:style>
  <w:style w:type="paragraph" w:customStyle="1" w:styleId="WideTable">
    <w:name w:val="Wide Table"/>
    <w:basedOn w:val="Normal"/>
    <w:rsid w:val="00CE39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911"/>
  </w:style>
  <w:style w:type="paragraph" w:styleId="Quote">
    <w:name w:val="Quote"/>
    <w:basedOn w:val="Heading1"/>
    <w:link w:val="QuoteChar"/>
    <w:qFormat/>
    <w:rsid w:val="00CE39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9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911"/>
    <w:pPr>
      <w:pageBreakBefore/>
    </w:pPr>
  </w:style>
  <w:style w:type="paragraph" w:customStyle="1" w:styleId="Border">
    <w:name w:val="Border"/>
    <w:basedOn w:val="Normal"/>
    <w:qFormat/>
    <w:rsid w:val="00CE39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9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9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9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9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9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9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9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9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911"/>
    <w:rPr>
      <w:u w:val="single"/>
    </w:rPr>
  </w:style>
  <w:style w:type="character" w:customStyle="1" w:styleId="BoldandItalics">
    <w:name w:val="Bold and Italics"/>
    <w:qFormat/>
    <w:rsid w:val="00CE3911"/>
    <w:rPr>
      <w:b/>
      <w:i/>
      <w:u w:val="none"/>
    </w:rPr>
  </w:style>
  <w:style w:type="paragraph" w:styleId="BalloonText">
    <w:name w:val="Balloon Text"/>
    <w:basedOn w:val="Normal"/>
    <w:link w:val="BalloonTextChar"/>
    <w:rsid w:val="00CE3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9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9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9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9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9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911"/>
    <w:pPr>
      <w:spacing w:before="0" w:after="0"/>
    </w:pPr>
  </w:style>
  <w:style w:type="paragraph" w:customStyle="1" w:styleId="BodyTextBold">
    <w:name w:val="Body Text Bold"/>
    <w:basedOn w:val="BodyText"/>
    <w:qFormat/>
    <w:rsid w:val="00CE3911"/>
    <w:rPr>
      <w:b/>
    </w:rPr>
  </w:style>
  <w:style w:type="character" w:styleId="Hyperlink">
    <w:name w:val="Hyperlink"/>
    <w:basedOn w:val="DefaultParagraphFont"/>
    <w:uiPriority w:val="99"/>
    <w:unhideWhenUsed/>
    <w:rsid w:val="009861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4699</Characters>
  <Application>Microsoft Office Word</Application>
  <DocSecurity>0</DocSecurity>
  <Lines>195</Lines>
  <Paragraphs>98</Paragraphs>
  <ScaleCrop>false</ScaleCrop>
  <Company>Author-it Software Corporation Ltd.</Company>
  <LinksUpToDate>false</LinksUpToDate>
  <CharactersWithSpaces>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UETDRTS031 Commission and maintain energy/revenue metering schemes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2022-12-06T06:47:00Z</dcterms:created>
  <dcterms:modified xsi:type="dcterms:W3CDTF">2022-12-06T06:47:00Z</dcterms:modified>
</cp:coreProperties>
</file>