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6DF" w:rsidP="002226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UETDRTS028 Calibrate, verify and certify revenue metering/energy measurement instruments</w:t>
      </w:r>
      <w:r>
        <w:fldChar w:fldCharType="end"/>
      </w:r>
    </w:p>
    <w:p w:rsidR="002226DF" w:rsidP="002226DF">
      <w:pPr>
        <w:pStyle w:val="Version"/>
        <w:sectPr w:rsidSect="006A6C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CBE" w:rsidP="006A6CBE">
      <w:pPr>
        <w:pStyle w:val="SuperHeading"/>
      </w:pPr>
      <w:r w:rsidRPr="006A6CBE">
        <w:t>UETDRTS028 Calibrate, verify and certify revenue metering/energy measurement instruments</w:t>
      </w:r>
    </w:p>
    <w:p w:rsidR="00000000" w:rsidRPr="006A6CBE" w:rsidP="006A6CBE">
      <w:pPr>
        <w:pStyle w:val="Heading1"/>
      </w:pPr>
      <w:bookmarkStart w:id="1" w:name="O_1237662"/>
      <w:bookmarkEnd w:id="1"/>
      <w:r w:rsidRPr="006A6C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6A6CBE" w:rsidP="006A6CBE">
      <w:pPr>
        <w:pStyle w:val="NoPaddingFontSize1"/>
      </w:pPr>
    </w:p>
    <w:p w:rsidR="00000000" w:rsidRPr="006A6CBE" w:rsidP="006A6CBE">
      <w:pPr>
        <w:pStyle w:val="AllowPageBreak"/>
      </w:pPr>
    </w:p>
    <w:p w:rsidR="00000000" w:rsidRPr="006A6CBE" w:rsidP="006A6CBE">
      <w:pPr>
        <w:pStyle w:val="Heading1"/>
      </w:pPr>
      <w:bookmarkStart w:id="2" w:name="O_1237663"/>
      <w:bookmarkEnd w:id="2"/>
      <w:r w:rsidRPr="006A6C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t>This unit includes the skills and knowledge required to calibrate verify an</w:t>
            </w:r>
            <w:r w:rsidRPr="006A6CBE">
              <w:t>d certify revenue metering/energy measurement instruments in the electricity supply industry (ESI).</w:t>
            </w:r>
          </w:p>
          <w:p w:rsidR="00000000" w:rsidRPr="006A6CBE" w:rsidP="006A6CBE">
            <w:pPr>
              <w:pStyle w:val="BodyText"/>
            </w:pPr>
            <w:r w:rsidRPr="006A6CBE">
              <w:t>It includes the evaluation and development of procedures and routines to certify the accuracy and traceability of revenue metering/energy measurement instru</w:t>
            </w:r>
            <w:r w:rsidRPr="006A6CBE">
              <w:t xml:space="preserve">ments. </w:t>
            </w:r>
          </w:p>
          <w:p w:rsidR="00000000" w:rsidRPr="006A6CBE" w:rsidP="006A6CBE">
            <w:pPr>
              <w:pStyle w:val="BodyText"/>
            </w:pPr>
            <w:r w:rsidRPr="006A6CBE">
              <w:t>It also includes the evaluation of test equipment capability. These processes must ensure compliance with metering industry regulations to ensure traceability of all measurements.</w:t>
            </w:r>
          </w:p>
          <w:p w:rsidR="00000000" w:rsidRPr="006A6CBE" w:rsidP="006A6CBE">
            <w:pPr>
              <w:pStyle w:val="BodyText"/>
            </w:pPr>
            <w:r w:rsidRPr="006A6CBE">
              <w:rPr>
                <w:rStyle w:val="Emphasis"/>
              </w:rPr>
              <w:t>Note: Users who hold a Certificate III Electrotechnology electrician</w:t>
            </w:r>
            <w:r w:rsidRPr="006A6CBE">
              <w:rPr>
                <w:rStyle w:val="Emphasis"/>
              </w:rPr>
              <w:t xml:space="preserve"> qualification or equivalent, meet the UEE prerequisite unit requirements.</w:t>
            </w:r>
          </w:p>
          <w:p w:rsidR="00000000" w:rsidRPr="006A6CBE" w:rsidP="006A6CBE">
            <w:pPr>
              <w:pStyle w:val="BodyText"/>
            </w:pPr>
            <w:r w:rsidRPr="006A6CBE">
              <w:rPr>
                <w:rStyle w:val="Emphasis"/>
              </w:rPr>
              <w:t>They are still required to complete UETDREL005 Work safely in the vicinity of live electrical apparatus, to meet the requirements of working within the electricity supply industry (</w:t>
            </w:r>
            <w:r w:rsidRPr="006A6CBE">
              <w:rPr>
                <w:rStyle w:val="Emphasis"/>
              </w:rPr>
              <w:t>ESI).</w:t>
            </w:r>
          </w:p>
          <w:p w:rsidR="00000000" w:rsidRPr="006A6CBE" w:rsidP="006A6CBE">
            <w:pPr>
              <w:pStyle w:val="BodyText"/>
            </w:pPr>
            <w:r w:rsidRPr="006A6CBE">
              <w:t xml:space="preserve">The application of the skills and knowledge described in this unit requires a licence/registration to practice in the workplace subject to regulations for undertaking of electrical work.  </w:t>
            </w:r>
          </w:p>
          <w:p w:rsidR="00000000" w:rsidRPr="006A6CBE" w:rsidP="006A6CBE">
            <w:pPr>
              <w:pStyle w:val="BodyText"/>
            </w:pPr>
            <w:r w:rsidRPr="006A6CBE">
              <w:t>Other conditions may apply under state and territory legislat</w:t>
            </w:r>
            <w:r w:rsidRPr="006A6CBE">
              <w:t>ive and regulatory licensing requirements which must be confirmed prior to commencing this unit.</w:t>
            </w:r>
          </w:p>
        </w:tc>
      </w:tr>
    </w:tbl>
    <w:p w:rsidR="00000000" w:rsidRPr="006A6CBE" w:rsidP="006A6CBE">
      <w:pPr>
        <w:pStyle w:val="NoPaddingFontSize1"/>
      </w:pPr>
    </w:p>
    <w:p w:rsidR="00000000" w:rsidRPr="006A6CBE" w:rsidP="006A6CBE">
      <w:pPr>
        <w:pStyle w:val="AllowPageBreak"/>
      </w:pPr>
    </w:p>
    <w:p w:rsidR="00000000" w:rsidRPr="006A6CBE" w:rsidP="006A6CBE">
      <w:pPr>
        <w:pStyle w:val="Heading1"/>
      </w:pPr>
      <w:bookmarkStart w:id="3" w:name="O_1237664"/>
      <w:bookmarkEnd w:id="3"/>
      <w:r w:rsidRPr="006A6C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t xml:space="preserve">UEECD0007 Apply work health and safety regulations, codes and practices in the workplace </w:t>
            </w:r>
          </w:p>
          <w:p w:rsidR="00000000" w:rsidRPr="006A6CBE" w:rsidP="006A6CBE">
            <w:pPr>
              <w:pStyle w:val="BodyText"/>
            </w:pPr>
            <w:r w:rsidRPr="006A6CBE">
              <w:t>UEECD0019 Fabricate, assemble</w:t>
            </w:r>
            <w:r w:rsidRPr="006A6CBE">
              <w:t xml:space="preserve"> and dismantle utilities industry components </w:t>
            </w:r>
          </w:p>
          <w:p w:rsidR="00000000" w:rsidRPr="006A6CBE" w:rsidP="006A6CBE">
            <w:pPr>
              <w:pStyle w:val="BodyText"/>
            </w:pPr>
            <w:r w:rsidRPr="006A6CBE">
              <w:t>UEECD0044 Solve problems in multiple path circuits</w:t>
            </w:r>
          </w:p>
          <w:p w:rsidR="00000000" w:rsidRPr="006A6CBE" w:rsidP="006A6CBE">
            <w:pPr>
              <w:pStyle w:val="BodyText"/>
            </w:pPr>
            <w:r w:rsidRPr="006A6CBE">
              <w:t>UEECD0046 Solve problems in single path circuits</w:t>
            </w:r>
          </w:p>
          <w:p w:rsidR="00000000" w:rsidRPr="006A6CBE" w:rsidP="006A6CBE">
            <w:pPr>
              <w:pStyle w:val="BodyText"/>
            </w:pPr>
            <w:r w:rsidRPr="006A6CBE">
              <w:t xml:space="preserve">UEECD0051 Use drawings, diagrams, schedules, standards, codes and specifications </w:t>
            </w:r>
          </w:p>
          <w:p w:rsidR="00000000" w:rsidRPr="006A6CBE" w:rsidP="006A6CBE">
            <w:pPr>
              <w:pStyle w:val="BodyText"/>
            </w:pPr>
            <w:r w:rsidRPr="006A6CBE">
              <w:t>UEEEL0019 Solve problems in direct current (d.c.) machines</w:t>
            </w:r>
          </w:p>
          <w:p w:rsidR="00000000" w:rsidRPr="006A6CBE" w:rsidP="006A6CBE">
            <w:pPr>
              <w:pStyle w:val="BodyText"/>
            </w:pPr>
            <w:r w:rsidRPr="006A6CBE">
              <w:t xml:space="preserve">UEEEL0020 Solve problems in low voltage a.c. circuits </w:t>
            </w:r>
          </w:p>
          <w:p w:rsidR="00000000" w:rsidRPr="006A6CBE" w:rsidP="006A6CBE">
            <w:pPr>
              <w:pStyle w:val="BodyText"/>
            </w:pPr>
            <w:r w:rsidRPr="006A6CBE">
              <w:t>UEEEL0021 Solve problems in magnetic and electromagnetic devices</w:t>
            </w:r>
          </w:p>
          <w:p w:rsidR="00000000" w:rsidRPr="006A6CBE" w:rsidP="006A6CBE">
            <w:pPr>
              <w:pStyle w:val="BodyText"/>
            </w:pPr>
            <w:r w:rsidRPr="006A6CBE">
              <w:t>UETDREL005 Work safely in the vicinity of live electrical apparatus</w:t>
            </w:r>
          </w:p>
        </w:tc>
      </w:tr>
    </w:tbl>
    <w:p w:rsidR="00000000" w:rsidRPr="006A6CBE" w:rsidP="006A6CBE">
      <w:pPr>
        <w:pStyle w:val="NoPaddingFontSize1"/>
      </w:pPr>
    </w:p>
    <w:p w:rsidR="00000000" w:rsidRPr="006A6CBE" w:rsidP="006A6CBE">
      <w:pPr>
        <w:pStyle w:val="AllowPageBreak"/>
      </w:pPr>
    </w:p>
    <w:p w:rsidR="00000000" w:rsidRPr="006A6CBE" w:rsidP="006A6CBE">
      <w:pPr>
        <w:pStyle w:val="Heading1"/>
      </w:pPr>
      <w:bookmarkStart w:id="4" w:name="O_1237665"/>
      <w:bookmarkEnd w:id="4"/>
      <w:r w:rsidRPr="006A6C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t>Testing</w:t>
            </w:r>
          </w:p>
        </w:tc>
      </w:tr>
    </w:tbl>
    <w:p w:rsidR="00000000" w:rsidRPr="006A6CBE" w:rsidP="006A6CBE">
      <w:pPr>
        <w:pStyle w:val="NoPaddingFontSize1"/>
      </w:pPr>
    </w:p>
    <w:p w:rsidR="00000000" w:rsidRPr="006A6CBE" w:rsidP="006A6CBE">
      <w:pPr>
        <w:pStyle w:val="AllowPageBreak"/>
      </w:pPr>
    </w:p>
    <w:p w:rsidR="00000000" w:rsidRPr="006A6CBE" w:rsidP="006A6CBE">
      <w:pPr>
        <w:pStyle w:val="Heading1"/>
      </w:pPr>
      <w:bookmarkStart w:id="5" w:name="O_1237666"/>
      <w:bookmarkEnd w:id="5"/>
      <w:r w:rsidRPr="006A6C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t>Not applicable.</w:t>
            </w:r>
          </w:p>
        </w:tc>
      </w:tr>
    </w:tbl>
    <w:p w:rsidR="00000000" w:rsidRPr="006A6CBE" w:rsidP="006A6CBE">
      <w:pPr>
        <w:pStyle w:val="NoPaddingFontSize1"/>
      </w:pPr>
    </w:p>
    <w:p w:rsidR="00000000" w:rsidRPr="006A6CBE" w:rsidP="006A6CBE">
      <w:pPr>
        <w:pStyle w:val="AllowPageBreak"/>
      </w:pPr>
    </w:p>
    <w:p w:rsidR="00000000" w:rsidRPr="006A6CBE" w:rsidP="006A6CBE">
      <w:pPr>
        <w:pStyle w:val="Heading1"/>
      </w:pPr>
      <w:bookmarkStart w:id="6" w:name="O_1237667"/>
      <w:bookmarkEnd w:id="6"/>
      <w:r w:rsidRPr="006A6CB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PERFORMANCE CRITERIA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Performance criteria describe the performance needed to demonstrate achievement of the element.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rPr>
                <w:rStyle w:val="SpecialBold"/>
              </w:rPr>
              <w:t>Prepare to calibrate, verify and certify revenue metering/energy measurement instruments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Workplace organisational requirements for the verification and</w:t>
            </w:r>
            <w:r w:rsidRPr="006A6CBE">
              <w:t xml:space="preserve"> certification of revenue metering/energy measurement instruments, are reviewed and determined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Purpose of the calibration, verification and certification of revenue metering/energy measurement instruments is established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Calibration, verification and certification procedures are established in accordance with workplace requirements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Tools, equipment and personal protective equipment (PPE) required for work are determined, obtained and confirmed in working order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1.</w:t>
            </w:r>
            <w:r w:rsidRPr="006A6CBE">
              <w:rPr>
                <w:rStyle w:val="SpecialBold"/>
              </w:rPr>
              <w:t>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Work is prioritised and sequenced for completion in accordance with work plan and workplace requirements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Relevant stakeholders are identified and liaised with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Work permits are determined in accordance with workplace requirements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Hazards are identified, risks assessed, and control measures identified and applied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rPr>
                <w:rStyle w:val="SpecialBold"/>
              </w:rPr>
              <w:t>Calibrate, verify and certify revenue metering/energy measurement instruments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Organisational workplace requirements for the work to be performed are applied and monitored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Relevant stakeholder liaison and work permits are applied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Lifting, and the use of tools, equipment and PPE are carried out in accordance with workpla</w:t>
            </w:r>
            <w:r w:rsidRPr="006A6CBE">
              <w:t>ce requirements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Hazard control measures are monitored in accordance with workplace requirements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Incidents or unplanned events are responded to in accordance with workplace requirements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Revenue metering/energy measurement instruments are calibrated, verified and certified in accordance with workplace requirements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Quality checks of work are undertaken in accordance with work plan and workplace requirements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t>Revenue metering/energy measurement instruments are verified using results and certified for use</w:t>
            </w:r>
          </w:p>
        </w:tc>
      </w:tr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BE">
            <w:pPr>
              <w:pStyle w:val="BodyText"/>
              <w:rPr>
                <w:lang w:val="en-NZ"/>
              </w:rPr>
            </w:pPr>
            <w:r w:rsidRPr="006A6CB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t>Work records, reports and documentation are completed, and where relevant, appropriate personnel notified in accorda</w:t>
            </w:r>
            <w:r w:rsidRPr="006A6CBE">
              <w:t>nce with workplace requirements</w:t>
            </w:r>
          </w:p>
        </w:tc>
      </w:tr>
    </w:tbl>
    <w:p w:rsidR="00000000" w:rsidRPr="006A6CBE" w:rsidP="006A6CBE">
      <w:pPr>
        <w:pStyle w:val="NoPaddingFontSize1"/>
      </w:pPr>
    </w:p>
    <w:p w:rsidR="00000000" w:rsidRPr="006A6CBE" w:rsidP="006A6CBE">
      <w:pPr>
        <w:pStyle w:val="AllowPageBreak"/>
      </w:pPr>
    </w:p>
    <w:p w:rsidR="00000000" w:rsidRPr="006A6CBE" w:rsidP="006A6CBE">
      <w:pPr>
        <w:pStyle w:val="Heading1"/>
      </w:pPr>
      <w:bookmarkStart w:id="7" w:name="O_1237668"/>
      <w:bookmarkEnd w:id="7"/>
      <w:r w:rsidRPr="006A6C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t>Foundation skills essential to performance are explicit in the performance criteria of this unit of competency.</w:t>
            </w:r>
          </w:p>
        </w:tc>
      </w:tr>
    </w:tbl>
    <w:p w:rsidR="00000000" w:rsidRPr="006A6CBE" w:rsidP="006A6CBE">
      <w:pPr>
        <w:pStyle w:val="NoPaddingFontSize1"/>
      </w:pPr>
    </w:p>
    <w:p w:rsidR="00000000" w:rsidRPr="006A6CBE" w:rsidP="006A6CBE">
      <w:pPr>
        <w:pStyle w:val="AllowPageBreak"/>
      </w:pPr>
    </w:p>
    <w:p w:rsidR="00000000" w:rsidRPr="006A6CBE" w:rsidP="006A6CBE">
      <w:pPr>
        <w:pStyle w:val="Heading1"/>
      </w:pPr>
      <w:bookmarkStart w:id="8" w:name="O_1237669"/>
      <w:bookmarkEnd w:id="8"/>
      <w:r w:rsidRPr="006A6C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t>Range is restricted to essential operating conditions and any other variables essential to the work environment.</w:t>
            </w:r>
          </w:p>
          <w:p w:rsidR="00000000" w:rsidRPr="006A6CBE" w:rsidP="006A6CBE">
            <w:pPr>
              <w:pStyle w:val="BodyText"/>
            </w:pPr>
            <w:r w:rsidRPr="006A6CBE">
              <w:t>Non-essential conditions may be found in the UET Transmission, Distribution and Rail Sector Training Package Companion Volume Implementation Gu</w:t>
            </w:r>
            <w:r w:rsidRPr="006A6CBE">
              <w:t>ide.</w:t>
            </w:r>
          </w:p>
        </w:tc>
      </w:tr>
    </w:tbl>
    <w:p w:rsidR="00000000" w:rsidRPr="006A6CBE" w:rsidP="006A6CBE">
      <w:pPr>
        <w:pStyle w:val="NoPaddingFontSize1"/>
      </w:pPr>
    </w:p>
    <w:p w:rsidR="00000000" w:rsidRPr="006A6CBE" w:rsidP="006A6CBE">
      <w:pPr>
        <w:pStyle w:val="AllowPageBreak"/>
      </w:pPr>
    </w:p>
    <w:p w:rsidR="00000000" w:rsidRPr="006A6CBE" w:rsidP="006A6CBE">
      <w:pPr>
        <w:pStyle w:val="Heading1"/>
      </w:pPr>
      <w:bookmarkStart w:id="9" w:name="O_1237670"/>
      <w:bookmarkEnd w:id="9"/>
      <w:r w:rsidRPr="006A6C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6C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BE" w:rsidP="006A6CBE">
            <w:pPr>
              <w:pStyle w:val="BodyText"/>
            </w:pPr>
            <w:r w:rsidRPr="006A6CBE">
              <w:t>This unit replaces and is not equivalent to UETDRTS027 Verification and certification of revenue metering/energy measurement instruments.</w:t>
            </w:r>
          </w:p>
        </w:tc>
      </w:tr>
    </w:tbl>
    <w:p w:rsidR="00000000" w:rsidRPr="006A6CBE" w:rsidP="006A6CBE">
      <w:pPr>
        <w:pStyle w:val="NoPaddingFontSize1"/>
      </w:pPr>
    </w:p>
    <w:p w:rsidR="00000000" w:rsidRPr="006A6CBE" w:rsidP="006A6CBE">
      <w:pPr>
        <w:pStyle w:val="AllowPageBreak"/>
      </w:pPr>
    </w:p>
    <w:p w:rsidR="00000000" w:rsidRPr="006A6CBE" w:rsidP="006A6CBE">
      <w:pPr>
        <w:pStyle w:val="Heading1"/>
      </w:pPr>
      <w:bookmarkStart w:id="10" w:name="O_1237677"/>
      <w:bookmarkEnd w:id="10"/>
      <w:r w:rsidRPr="006A6CBE">
        <w:t>Links</w:t>
      </w:r>
    </w:p>
    <w:p w:rsidR="00000000" w:rsidRPr="006A6CBE" w:rsidP="002226DF">
      <w:pPr>
        <w:pStyle w:val="BodyText"/>
      </w:pPr>
      <w:r w:rsidRPr="006A6CBE">
        <w:t>Companion Volume Implementation Guides a</w:t>
      </w:r>
      <w:r w:rsidRPr="006A6CBE">
        <w:t xml:space="preserve">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534F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A6CBE" w:rsidP="006A6CBE"/>
    <w:sectPr w:rsidSect="006A6C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BE" w:rsidRPr="002226DF" w:rsidP="002226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DF" w:rsidP="006A6C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6DF" w:rsidP="006A6C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226DF" w:rsidP="006A6C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6CBE" w:rsidRPr="002226DF" w:rsidP="002226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6DF" w:rsidRPr="002D2AF8" w:rsidP="006A6C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UETDRTS028 Calibrate, verify and certify revenue metering/energy measurement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2226DF" w:rsidP="006A6C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C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C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C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C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C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C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C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C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C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C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C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CBE"/>
  </w:style>
  <w:style w:type="character" w:customStyle="1" w:styleId="Heading1Char">
    <w:name w:val="Heading 1 Char"/>
    <w:basedOn w:val="DefaultParagraphFont"/>
    <w:link w:val="Heading1"/>
    <w:rsid w:val="006A6C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C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C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6CBE"/>
    <w:rPr>
      <w:b/>
      <w:spacing w:val="0"/>
    </w:rPr>
  </w:style>
  <w:style w:type="character" w:styleId="Emphasis">
    <w:name w:val="Emphasis"/>
    <w:basedOn w:val="DefaultParagraphFont"/>
    <w:qFormat/>
    <w:rsid w:val="006A6CBE"/>
    <w:rPr>
      <w:i/>
    </w:rPr>
  </w:style>
  <w:style w:type="paragraph" w:customStyle="1" w:styleId="SuperHeading">
    <w:name w:val="SuperHeading"/>
    <w:basedOn w:val="Normal"/>
    <w:rsid w:val="006A6C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C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6C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C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C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C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C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C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C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C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C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C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C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C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C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C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C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6C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6C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C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C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C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C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C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C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C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C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C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C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C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C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C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6C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C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C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CBE"/>
  </w:style>
  <w:style w:type="paragraph" w:styleId="TableofFigures">
    <w:name w:val="table of figures"/>
    <w:basedOn w:val="Normal"/>
    <w:next w:val="Normal"/>
    <w:semiHidden/>
    <w:rsid w:val="006A6C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C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6CBE"/>
    <w:rPr>
      <w:rFonts w:ascii="Wingdings" w:hAnsi="Wingdings"/>
    </w:rPr>
  </w:style>
  <w:style w:type="paragraph" w:customStyle="1" w:styleId="TableHeading">
    <w:name w:val="Table Heading"/>
    <w:basedOn w:val="HeadingBase"/>
    <w:rsid w:val="006A6C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CBE"/>
    <w:rPr>
      <w:color w:val="0033CC"/>
      <w:u w:val="none"/>
    </w:rPr>
  </w:style>
  <w:style w:type="paragraph" w:customStyle="1" w:styleId="BodyTextRight">
    <w:name w:val="Body Text Right"/>
    <w:basedOn w:val="BodyText"/>
    <w:rsid w:val="006A6C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C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C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C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C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C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CBE"/>
    <w:rPr>
      <w:sz w:val="32"/>
    </w:rPr>
  </w:style>
  <w:style w:type="paragraph" w:customStyle="1" w:styleId="HeadingProcedure">
    <w:name w:val="Heading Procedure"/>
    <w:basedOn w:val="HeadingBase"/>
    <w:next w:val="Normal"/>
    <w:rsid w:val="006A6C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CBE"/>
    <w:pPr>
      <w:spacing w:before="60" w:after="60"/>
    </w:pPr>
  </w:style>
  <w:style w:type="paragraph" w:styleId="ListContinue">
    <w:name w:val="List Continue"/>
    <w:basedOn w:val="List"/>
    <w:rsid w:val="006A6CBE"/>
    <w:pPr>
      <w:ind w:firstLine="0"/>
    </w:pPr>
  </w:style>
  <w:style w:type="paragraph" w:customStyle="1" w:styleId="ListNote">
    <w:name w:val="List Note"/>
    <w:basedOn w:val="List"/>
    <w:rsid w:val="006A6C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C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C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CBE"/>
    <w:rPr>
      <w:rFonts w:ascii="Courier New" w:hAnsi="Courier New"/>
    </w:rPr>
  </w:style>
  <w:style w:type="paragraph" w:customStyle="1" w:styleId="NoteBullet">
    <w:name w:val="Note Bullet"/>
    <w:basedOn w:val="Note"/>
    <w:rsid w:val="006A6C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C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C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C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C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6C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C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CBE"/>
    <w:rPr>
      <w:b/>
      <w:smallCaps/>
    </w:rPr>
  </w:style>
  <w:style w:type="paragraph" w:customStyle="1" w:styleId="TableListNumber">
    <w:name w:val="Table List Number"/>
    <w:basedOn w:val="ListNumber"/>
    <w:rsid w:val="006A6C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C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CBE"/>
    <w:pPr>
      <w:numPr>
        <w:numId w:val="7"/>
      </w:numPr>
    </w:pPr>
  </w:style>
  <w:style w:type="paragraph" w:customStyle="1" w:styleId="ListAlpha2">
    <w:name w:val="List Alpha 2"/>
    <w:basedOn w:val="List2"/>
    <w:rsid w:val="006A6CBE"/>
    <w:pPr>
      <w:numPr>
        <w:numId w:val="6"/>
      </w:numPr>
    </w:pPr>
  </w:style>
  <w:style w:type="paragraph" w:styleId="List2">
    <w:name w:val="List 2"/>
    <w:basedOn w:val="BodyText"/>
    <w:rsid w:val="006A6C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C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C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C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C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C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6CBE"/>
    <w:pPr>
      <w:numPr>
        <w:numId w:val="2"/>
      </w:numPr>
    </w:pPr>
  </w:style>
  <w:style w:type="paragraph" w:styleId="ListContinue2">
    <w:name w:val="List Continue 2"/>
    <w:basedOn w:val="List2"/>
    <w:rsid w:val="006A6CBE"/>
    <w:pPr>
      <w:ind w:firstLine="0"/>
    </w:pPr>
  </w:style>
  <w:style w:type="paragraph" w:styleId="ListContinue3">
    <w:name w:val="List Continue 3"/>
    <w:basedOn w:val="List3"/>
    <w:rsid w:val="006A6CBE"/>
    <w:pPr>
      <w:ind w:left="1021" w:firstLine="0"/>
    </w:pPr>
  </w:style>
  <w:style w:type="paragraph" w:styleId="ListContinue4">
    <w:name w:val="List Continue 4"/>
    <w:basedOn w:val="List4"/>
    <w:rsid w:val="006A6CBE"/>
    <w:pPr>
      <w:ind w:firstLine="0"/>
    </w:pPr>
  </w:style>
  <w:style w:type="paragraph" w:styleId="ListContinue5">
    <w:name w:val="List Continue 5"/>
    <w:basedOn w:val="List5"/>
    <w:rsid w:val="006A6CBE"/>
    <w:pPr>
      <w:ind w:firstLine="0"/>
    </w:pPr>
  </w:style>
  <w:style w:type="paragraph" w:styleId="ListNumber3">
    <w:name w:val="List Number 3"/>
    <w:basedOn w:val="List3"/>
    <w:rsid w:val="006A6CBE"/>
    <w:pPr>
      <w:numPr>
        <w:numId w:val="3"/>
      </w:numPr>
    </w:pPr>
  </w:style>
  <w:style w:type="paragraph" w:styleId="ListNumber4">
    <w:name w:val="List Number 4"/>
    <w:basedOn w:val="List4"/>
    <w:rsid w:val="006A6CBE"/>
    <w:pPr>
      <w:numPr>
        <w:numId w:val="4"/>
      </w:numPr>
    </w:pPr>
  </w:style>
  <w:style w:type="paragraph" w:styleId="ListNumber5">
    <w:name w:val="List Number 5"/>
    <w:basedOn w:val="List5"/>
    <w:rsid w:val="006A6CBE"/>
    <w:pPr>
      <w:numPr>
        <w:numId w:val="5"/>
      </w:numPr>
    </w:pPr>
  </w:style>
  <w:style w:type="paragraph" w:styleId="BlockText">
    <w:name w:val="Block Text"/>
    <w:basedOn w:val="Normal"/>
    <w:rsid w:val="006A6C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C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CBE"/>
    <w:rPr>
      <w:sz w:val="16"/>
      <w:vertAlign w:val="superscript"/>
    </w:rPr>
  </w:style>
  <w:style w:type="character" w:customStyle="1" w:styleId="Symbols">
    <w:name w:val="Symbols"/>
    <w:basedOn w:val="DefaultParagraphFont"/>
    <w:rsid w:val="006A6CBE"/>
    <w:rPr>
      <w:rFonts w:ascii="Symbol" w:hAnsi="Symbol"/>
    </w:rPr>
  </w:style>
  <w:style w:type="character" w:customStyle="1" w:styleId="MenuOptions">
    <w:name w:val="Menu Options"/>
    <w:basedOn w:val="DefaultParagraphFont"/>
    <w:rsid w:val="006A6C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CBE"/>
    <w:rPr>
      <w:b/>
    </w:rPr>
  </w:style>
  <w:style w:type="character" w:customStyle="1" w:styleId="Underlined">
    <w:name w:val="Underlined"/>
    <w:basedOn w:val="DefaultParagraphFont"/>
    <w:rsid w:val="006A6CBE"/>
    <w:rPr>
      <w:u w:val="single"/>
    </w:rPr>
  </w:style>
  <w:style w:type="paragraph" w:customStyle="1" w:styleId="TableBodyTextRight">
    <w:name w:val="Table Body Text Right"/>
    <w:basedOn w:val="TableBodyText"/>
    <w:rsid w:val="006A6C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CBE"/>
    <w:rPr>
      <w:sz w:val="18"/>
    </w:rPr>
  </w:style>
  <w:style w:type="paragraph" w:customStyle="1" w:styleId="BodySmallRight">
    <w:name w:val="Body Small Right"/>
    <w:basedOn w:val="BodyTextRight"/>
    <w:rsid w:val="006A6CBE"/>
    <w:rPr>
      <w:sz w:val="18"/>
      <w:szCs w:val="18"/>
    </w:rPr>
  </w:style>
  <w:style w:type="paragraph" w:customStyle="1" w:styleId="MarginEdition">
    <w:name w:val="Margin Edition"/>
    <w:basedOn w:val="MarginNote"/>
    <w:rsid w:val="006A6C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CBE"/>
    <w:rPr>
      <w:sz w:val="2"/>
      <w:szCs w:val="2"/>
    </w:rPr>
  </w:style>
  <w:style w:type="character" w:customStyle="1" w:styleId="Small">
    <w:name w:val="Small"/>
    <w:basedOn w:val="DefaultParagraphFont"/>
    <w:rsid w:val="006A6CBE"/>
    <w:rPr>
      <w:sz w:val="16"/>
    </w:rPr>
  </w:style>
  <w:style w:type="paragraph" w:customStyle="1" w:styleId="WideTable">
    <w:name w:val="Wide Table"/>
    <w:basedOn w:val="Normal"/>
    <w:rsid w:val="006A6C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CBE"/>
  </w:style>
  <w:style w:type="paragraph" w:styleId="Quote">
    <w:name w:val="Quote"/>
    <w:basedOn w:val="Heading1"/>
    <w:link w:val="QuoteChar"/>
    <w:qFormat/>
    <w:rsid w:val="006A6C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C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CBE"/>
    <w:pPr>
      <w:pageBreakBefore/>
    </w:pPr>
  </w:style>
  <w:style w:type="paragraph" w:customStyle="1" w:styleId="Border">
    <w:name w:val="Border"/>
    <w:basedOn w:val="Normal"/>
    <w:qFormat/>
    <w:rsid w:val="006A6C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C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C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C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C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C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C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C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C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CBE"/>
    <w:rPr>
      <w:u w:val="single"/>
    </w:rPr>
  </w:style>
  <w:style w:type="character" w:customStyle="1" w:styleId="BoldandItalics">
    <w:name w:val="Bold and Italics"/>
    <w:qFormat/>
    <w:rsid w:val="006A6CBE"/>
    <w:rPr>
      <w:b/>
      <w:i/>
      <w:u w:val="none"/>
    </w:rPr>
  </w:style>
  <w:style w:type="paragraph" w:styleId="BalloonText">
    <w:name w:val="Balloon Text"/>
    <w:basedOn w:val="Normal"/>
    <w:link w:val="BalloonTextChar"/>
    <w:rsid w:val="006A6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C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C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C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C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C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6CBE"/>
    <w:pPr>
      <w:spacing w:before="0" w:after="0"/>
    </w:pPr>
  </w:style>
  <w:style w:type="paragraph" w:customStyle="1" w:styleId="BodyTextBold">
    <w:name w:val="Body Text Bold"/>
    <w:basedOn w:val="BodyText"/>
    <w:qFormat/>
    <w:rsid w:val="006A6CBE"/>
    <w:rPr>
      <w:b/>
    </w:rPr>
  </w:style>
  <w:style w:type="character" w:styleId="Hyperlink">
    <w:name w:val="Hyperlink"/>
    <w:basedOn w:val="DefaultParagraphFont"/>
    <w:uiPriority w:val="99"/>
    <w:unhideWhenUsed/>
    <w:rsid w:val="002226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4709</Characters>
  <Application>Microsoft Office Word</Application>
  <DocSecurity>0</DocSecurity>
  <Lines>188</Lines>
  <Paragraphs>96</Paragraphs>
  <ScaleCrop>false</ScaleCrop>
  <Company>Author-it Software Corporation Ltd.</Company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UETDRTS028 Calibrate, verify and certify revenue metering/energy measurement instruments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