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95ACB" w:rsidP="00895ACB">
      <w:pPr>
        <w:pStyle w:val="Title"/>
      </w:pPr>
      <w:r>
        <w:fldChar w:fldCharType="begin"/>
      </w:r>
      <w:r>
        <w:instrText xml:space="preserve"> TITLE   \* MERGEFORMAT </w:instrText>
      </w:r>
      <w:r>
        <w:fldChar w:fldCharType="separate"/>
      </w:r>
      <w:r>
        <w:t>UETDRTS027 Verification and certification of revenue metering/energy measurement instruments</w:t>
      </w:r>
      <w:r>
        <w:fldChar w:fldCharType="end"/>
      </w:r>
    </w:p>
    <w:p w:rsidR="00895ACB" w:rsidP="00895ACB">
      <w:pPr>
        <w:pStyle w:val="Version"/>
        <w:sectPr w:rsidSect="00E929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2994" w:rsidP="00E92994">
      <w:pPr>
        <w:pStyle w:val="SuperHeading"/>
      </w:pPr>
      <w:r w:rsidRPr="00E92994">
        <w:t>UETDRTS027 Verification and certification of revenue metering/energy measurement instruments</w:t>
      </w:r>
    </w:p>
    <w:p w:rsidR="00000000" w:rsidRPr="00E92994" w:rsidP="00E92994">
      <w:pPr>
        <w:pStyle w:val="Heading1"/>
      </w:pPr>
      <w:bookmarkStart w:id="1" w:name="O_1177845"/>
      <w:bookmarkEnd w:id="1"/>
      <w:r w:rsidRPr="00E92994">
        <w:t>Modification History</w:t>
      </w:r>
    </w:p>
    <w:tbl>
      <w:tblPr>
        <w:tblW w:w="9497" w:type="dxa"/>
        <w:tblLayout w:type="fixed"/>
        <w:tblCellMar>
          <w:left w:w="62" w:type="dxa"/>
          <w:right w:w="62" w:type="dxa"/>
        </w:tblCellMar>
        <w:tblLook w:val="0000"/>
      </w:tblPr>
      <w:tblGrid>
        <w:gridCol w:w="9497"/>
      </w:tblGrid>
      <w:tr w:rsidTr="00E92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t>Release 1. This is the first release of this unit of competency in the UET Transmission, Distribution and Rail Sector Training Package Release 2.0.</w:t>
            </w:r>
          </w:p>
        </w:tc>
      </w:tr>
    </w:tbl>
    <w:p w:rsidR="00000000" w:rsidRPr="00E92994" w:rsidP="00E92994">
      <w:pPr>
        <w:pStyle w:val="NoPaddingFontSize1"/>
      </w:pPr>
    </w:p>
    <w:p w:rsidR="00000000" w:rsidRPr="00E92994" w:rsidP="00E92994">
      <w:pPr>
        <w:pStyle w:val="AllowPageBreak"/>
      </w:pPr>
    </w:p>
    <w:p w:rsidR="00000000" w:rsidRPr="00E92994" w:rsidP="00E92994">
      <w:pPr>
        <w:pStyle w:val="Heading1"/>
      </w:pPr>
      <w:bookmarkStart w:id="2" w:name="O_1177846"/>
      <w:bookmarkEnd w:id="2"/>
      <w:r w:rsidRPr="00E92994">
        <w:t>Application</w:t>
      </w:r>
    </w:p>
    <w:tbl>
      <w:tblPr>
        <w:tblW w:w="9497" w:type="dxa"/>
        <w:tblLayout w:type="fixed"/>
        <w:tblCellMar>
          <w:left w:w="62" w:type="dxa"/>
          <w:right w:w="62" w:type="dxa"/>
        </w:tblCellMar>
        <w:tblLook w:val="0000"/>
      </w:tblPr>
      <w:tblGrid>
        <w:gridCol w:w="9497"/>
      </w:tblGrid>
      <w:tr w:rsidTr="00E92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t xml:space="preserve">This unit covers the evaluation and development of procedures and routines </w:t>
            </w:r>
            <w:r w:rsidRPr="00E92994">
              <w:t>to certify the accuracy, traceability and uncertainty of measurement of metering standards and test equipment. This encompasses developing test procedures, PC controlled and software driven test sequences and includes the evaluation of test equipment capab</w:t>
            </w:r>
            <w:r w:rsidRPr="00E92994">
              <w:t>ility and design of hardware interfaces. These processes must ensure compliance with metering industry regulations to ensure traceability of all measurement.</w:t>
            </w:r>
          </w:p>
          <w:p w:rsidR="00000000" w:rsidRPr="00E92994" w:rsidP="00E92994">
            <w:pPr>
              <w:pStyle w:val="BodyText"/>
            </w:pPr>
            <w:r w:rsidRPr="00E92994">
              <w:t>The application of the skills and knowledge described in this unit requires a licence/registration</w:t>
            </w:r>
            <w:r w:rsidRPr="00E92994">
              <w:t xml:space="preserve"> to practice in the workplace subject to regulations for undertaking of electrical work.  </w:t>
            </w:r>
          </w:p>
          <w:p w:rsidR="00000000" w:rsidRPr="00E92994" w:rsidP="00E92994">
            <w:pPr>
              <w:pStyle w:val="BodyText"/>
            </w:pPr>
            <w:r w:rsidRPr="00E92994">
              <w:t>Other conditions may apply under state and territory legislative and regulatory licensing requirements which must be confirmed prior to commencing this unit.</w:t>
            </w:r>
          </w:p>
        </w:tc>
      </w:tr>
    </w:tbl>
    <w:p w:rsidR="00000000" w:rsidRPr="00E92994" w:rsidP="00E92994">
      <w:pPr>
        <w:pStyle w:val="NoPaddingFontSize1"/>
      </w:pPr>
    </w:p>
    <w:p w:rsidR="00000000" w:rsidRPr="00E92994" w:rsidP="00E92994">
      <w:pPr>
        <w:pStyle w:val="AllowPageBreak"/>
      </w:pPr>
    </w:p>
    <w:p w:rsidR="00000000" w:rsidRPr="00E92994" w:rsidP="00E92994">
      <w:pPr>
        <w:pStyle w:val="Heading1"/>
      </w:pPr>
      <w:bookmarkStart w:id="3" w:name="O_1177847"/>
      <w:bookmarkEnd w:id="3"/>
      <w:r w:rsidRPr="00E92994">
        <w:t>Pre-requisite Unit</w:t>
      </w:r>
    </w:p>
    <w:tbl>
      <w:tblPr>
        <w:tblW w:w="9497" w:type="dxa"/>
        <w:tblLayout w:type="fixed"/>
        <w:tblCellMar>
          <w:left w:w="62" w:type="dxa"/>
          <w:right w:w="62" w:type="dxa"/>
        </w:tblCellMar>
        <w:tblLook w:val="0000"/>
      </w:tblPr>
      <w:tblGrid>
        <w:gridCol w:w="9497"/>
      </w:tblGrid>
      <w:tr w:rsidTr="00E92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t>UEENEEE101A Apply Occupational Health and Safety regulations, codes and practices in the workplace</w:t>
            </w:r>
          </w:p>
          <w:p w:rsidR="00000000" w:rsidRPr="00E92994" w:rsidP="00E92994">
            <w:pPr>
              <w:pStyle w:val="BodyText"/>
            </w:pPr>
            <w:r w:rsidRPr="00E92994">
              <w:t>UEENEEE102A Fabricate, assemble and dismantle utilities industry components</w:t>
            </w:r>
          </w:p>
          <w:p w:rsidR="00000000" w:rsidRPr="00E92994" w:rsidP="00E92994">
            <w:pPr>
              <w:pStyle w:val="BodyText"/>
            </w:pPr>
            <w:r w:rsidRPr="00E92994">
              <w:t>UEENEEE104A Solve problems in d.c. circuits</w:t>
            </w:r>
          </w:p>
          <w:p w:rsidR="00000000" w:rsidRPr="00E92994" w:rsidP="00E92994">
            <w:pPr>
              <w:pStyle w:val="BodyText"/>
            </w:pPr>
            <w:r w:rsidRPr="00E92994">
              <w:t>UEEN</w:t>
            </w:r>
            <w:r w:rsidRPr="00E92994">
              <w:t>EEE105A Fix and secure electrotechnology equipment</w:t>
            </w:r>
          </w:p>
          <w:p w:rsidR="00000000" w:rsidRPr="00E92994" w:rsidP="00E92994">
            <w:pPr>
              <w:pStyle w:val="BodyText"/>
            </w:pPr>
            <w:r w:rsidRPr="00E92994">
              <w:t>UEENEEE107A Use drawings, diagrams, schedules, standards, codes and specifications</w:t>
            </w:r>
          </w:p>
          <w:p w:rsidR="00000000" w:rsidRPr="00E92994" w:rsidP="00E92994">
            <w:pPr>
              <w:pStyle w:val="BodyText"/>
            </w:pPr>
            <w:r w:rsidRPr="00E92994">
              <w:t>UEENEEE137A Document and apply measures to control OHS risks associated with electrotechnology work</w:t>
            </w:r>
          </w:p>
          <w:p w:rsidR="00000000" w:rsidRPr="00E92994" w:rsidP="00E92994">
            <w:pPr>
              <w:pStyle w:val="BodyText"/>
            </w:pPr>
            <w:r w:rsidRPr="00E92994">
              <w:t>UEENEEG006A Solve prob</w:t>
            </w:r>
            <w:r w:rsidRPr="00E92994">
              <w:t>lems in single and three phase low voltage machines</w:t>
            </w:r>
          </w:p>
          <w:p w:rsidR="00000000" w:rsidRPr="00E92994" w:rsidP="00E92994">
            <w:pPr>
              <w:pStyle w:val="BodyText"/>
            </w:pPr>
            <w:r w:rsidRPr="00E92994">
              <w:t>UEENEEG033A Solve problems in single and three phase low voltage electrical apparatus and circuits</w:t>
            </w:r>
          </w:p>
          <w:p w:rsidR="00000000" w:rsidRPr="00E92994" w:rsidP="00E92994">
            <w:pPr>
              <w:pStyle w:val="BodyText"/>
            </w:pPr>
            <w:r w:rsidRPr="00E92994">
              <w:t>UEENEEG063A Arrange circuits, control and protection for general electrical installations</w:t>
            </w:r>
          </w:p>
          <w:p w:rsidR="00000000" w:rsidRPr="00E92994" w:rsidP="00E92994">
            <w:pPr>
              <w:pStyle w:val="BodyText"/>
            </w:pPr>
            <w:r w:rsidRPr="00E92994">
              <w:t>UEENEEG076A Install and replace low voltage current transformer metering</w:t>
            </w:r>
          </w:p>
          <w:p w:rsidR="00000000" w:rsidRPr="00E92994" w:rsidP="00E92994">
            <w:pPr>
              <w:pStyle w:val="BodyText"/>
            </w:pPr>
            <w:r w:rsidRPr="00E92994">
              <w:t>UEENEEG101A Solve problems in electromagnetic devices and related circuits</w:t>
            </w:r>
          </w:p>
          <w:p w:rsidR="00000000" w:rsidRPr="00E92994" w:rsidP="00E92994">
            <w:pPr>
              <w:pStyle w:val="BodyText"/>
            </w:pPr>
            <w:r w:rsidRPr="00E92994">
              <w:t>UEENEEG102A Solve problems in low voltage a.c. circuits</w:t>
            </w:r>
          </w:p>
          <w:p w:rsidR="00000000" w:rsidRPr="00E92994" w:rsidP="00E92994">
            <w:pPr>
              <w:pStyle w:val="BodyText"/>
            </w:pPr>
            <w:r w:rsidRPr="00E92994">
              <w:t>UEENEEG103A Install low voltage wiring and accessori</w:t>
            </w:r>
            <w:r w:rsidRPr="00E92994">
              <w:t>es</w:t>
            </w:r>
          </w:p>
          <w:p w:rsidR="00000000" w:rsidRPr="00E92994" w:rsidP="00E92994">
            <w:pPr>
              <w:pStyle w:val="BodyText"/>
            </w:pPr>
            <w:r w:rsidRPr="00E92994">
              <w:t>UEENEEG104A Install appliances, switchgear and associated accessories for low voltage electrical installations</w:t>
            </w:r>
          </w:p>
          <w:p w:rsidR="00000000" w:rsidRPr="00E92994" w:rsidP="00E92994">
            <w:pPr>
              <w:pStyle w:val="BodyText"/>
            </w:pPr>
            <w:r w:rsidRPr="00E92994">
              <w:t>UEENEEG105A Verify compliance and functionality of low voltage general electrical installations</w:t>
            </w:r>
          </w:p>
          <w:p w:rsidR="00000000" w:rsidRPr="00E92994" w:rsidP="00E92994">
            <w:pPr>
              <w:pStyle w:val="BodyText"/>
            </w:pPr>
            <w:r w:rsidRPr="00E92994">
              <w:t>UEENEEG106A Terminate cables, cords and access</w:t>
            </w:r>
            <w:r w:rsidRPr="00E92994">
              <w:t>ories for low voltage circuits</w:t>
            </w:r>
          </w:p>
          <w:p w:rsidR="00000000" w:rsidRPr="00E92994" w:rsidP="00E92994">
            <w:pPr>
              <w:pStyle w:val="BodyText"/>
            </w:pPr>
            <w:r w:rsidRPr="00E92994">
              <w:t>UEENEEG107A Select wiring systems and cables for low voltage general electrical installations</w:t>
            </w:r>
          </w:p>
          <w:p w:rsidR="00000000" w:rsidRPr="00E92994" w:rsidP="00E92994">
            <w:pPr>
              <w:pStyle w:val="BodyText"/>
            </w:pPr>
            <w:r w:rsidRPr="00E92994">
              <w:t>UEENEEG108A Trouble-shoot and repair faults in low voltage electrical apparatus and circuits</w:t>
            </w:r>
          </w:p>
          <w:p w:rsidR="00000000" w:rsidRPr="00E92994" w:rsidP="00E92994">
            <w:pPr>
              <w:pStyle w:val="BodyText"/>
            </w:pPr>
            <w:r w:rsidRPr="00E92994">
              <w:t>UEENEEG109A Develop and connect electr</w:t>
            </w:r>
            <w:r w:rsidRPr="00E92994">
              <w:t>ical control circuits</w:t>
            </w:r>
          </w:p>
          <w:p w:rsidR="00000000" w:rsidRPr="00E92994" w:rsidP="00E92994">
            <w:pPr>
              <w:pStyle w:val="BodyText"/>
            </w:pPr>
            <w:r w:rsidRPr="00E92994">
              <w:t>UEENEEG171A Install, set up and commission interval metering</w:t>
            </w:r>
          </w:p>
          <w:p w:rsidR="00000000" w:rsidRPr="00E92994" w:rsidP="00E92994">
            <w:pPr>
              <w:pStyle w:val="BodyText"/>
            </w:pPr>
            <w:r w:rsidRPr="00E92994">
              <w:t>UETDREL001 Apply environmental requirements</w:t>
            </w:r>
          </w:p>
          <w:p w:rsidR="00000000" w:rsidRPr="00E92994" w:rsidP="00E92994">
            <w:pPr>
              <w:pStyle w:val="BodyText"/>
            </w:pPr>
            <w:r w:rsidRPr="00E92994">
              <w:t>UETDREL005 Work safely in the vicinity of live electrical apparatus</w:t>
            </w:r>
          </w:p>
          <w:p w:rsidR="00000000" w:rsidRPr="00E92994" w:rsidP="00E92994">
            <w:pPr>
              <w:pStyle w:val="BodyText"/>
            </w:pPr>
            <w:r w:rsidRPr="00E92994">
              <w:t>UETDRTS002 Commission energy/revenue metering schemes</w:t>
            </w:r>
          </w:p>
          <w:p w:rsidR="00000000" w:rsidRPr="00E92994" w:rsidP="00E92994">
            <w:pPr>
              <w:pStyle w:val="BodyText"/>
            </w:pPr>
            <w:r w:rsidRPr="00E92994">
              <w:t>UETDRTS</w:t>
            </w:r>
            <w:r w:rsidRPr="00E92994">
              <w:t>012 Install and replace complex energy/revenue metering schemes and associated equipment</w:t>
            </w:r>
          </w:p>
          <w:p w:rsidR="00000000" w:rsidRPr="00E92994" w:rsidP="00E92994">
            <w:pPr>
              <w:pStyle w:val="BodyText"/>
            </w:pPr>
            <w:r w:rsidRPr="00E92994">
              <w:t>UETDRTS013 Install and replace high voltage metering and associated equipment</w:t>
            </w:r>
          </w:p>
          <w:p w:rsidR="00000000" w:rsidRPr="00E92994" w:rsidP="00E92994">
            <w:pPr>
              <w:pStyle w:val="BodyText"/>
            </w:pPr>
            <w:r w:rsidRPr="00E92994">
              <w:t>UETDRTS016 Maintain compliance with national electricity market metrology practices and p</w:t>
            </w:r>
            <w:r w:rsidRPr="00E92994">
              <w:t>rocedures</w:t>
            </w:r>
          </w:p>
          <w:p w:rsidR="00000000" w:rsidRPr="00E92994" w:rsidP="00E92994">
            <w:pPr>
              <w:pStyle w:val="BodyText"/>
            </w:pPr>
            <w:r w:rsidRPr="00E92994">
              <w:t>UETDRTS020 Management of energy registration data errors for revenue billing purposes</w:t>
            </w:r>
          </w:p>
          <w:p w:rsidR="00000000" w:rsidRPr="00E92994" w:rsidP="00E92994">
            <w:pPr>
              <w:pStyle w:val="BodyText"/>
            </w:pPr>
            <w:r w:rsidRPr="00E92994">
              <w:t>UETDRTS022 Perform current injection testing using phantom load</w:t>
            </w:r>
          </w:p>
          <w:p w:rsidR="00000000" w:rsidRPr="00E92994" w:rsidP="00E92994">
            <w:pPr>
              <w:pStyle w:val="BodyText"/>
            </w:pPr>
            <w:r w:rsidRPr="00E92994">
              <w:t>UETDRTS024 Test and maintain energy/revenue metering schemes</w:t>
            </w:r>
          </w:p>
          <w:p w:rsidR="00000000" w:rsidRPr="00E92994" w:rsidP="00E92994">
            <w:pPr>
              <w:pStyle w:val="BodyText"/>
            </w:pPr>
            <w:r w:rsidRPr="00E92994">
              <w:t>UETTDREL15 Respond to power systems</w:t>
            </w:r>
            <w:r w:rsidRPr="00E92994">
              <w:t xml:space="preserve"> technical enquiries and requests</w:t>
            </w:r>
          </w:p>
        </w:tc>
      </w:tr>
    </w:tbl>
    <w:p w:rsidR="00000000" w:rsidRPr="00E92994" w:rsidP="00E92994">
      <w:pPr>
        <w:pStyle w:val="NoPaddingFontSize1"/>
      </w:pPr>
    </w:p>
    <w:p w:rsidR="00000000" w:rsidRPr="00E92994" w:rsidP="00E92994">
      <w:pPr>
        <w:pStyle w:val="AllowPageBreak"/>
      </w:pPr>
    </w:p>
    <w:p w:rsidR="00000000" w:rsidRPr="00E92994" w:rsidP="00E92994">
      <w:pPr>
        <w:pStyle w:val="Heading1"/>
      </w:pPr>
      <w:bookmarkStart w:id="4" w:name="O_1177848"/>
      <w:bookmarkEnd w:id="4"/>
      <w:r w:rsidRPr="00E92994">
        <w:t>Competency Field</w:t>
      </w:r>
    </w:p>
    <w:tbl>
      <w:tblPr>
        <w:tblW w:w="9497" w:type="dxa"/>
        <w:tblLayout w:type="fixed"/>
        <w:tblCellMar>
          <w:left w:w="62" w:type="dxa"/>
          <w:right w:w="62" w:type="dxa"/>
        </w:tblCellMar>
        <w:tblLook w:val="0000"/>
      </w:tblPr>
      <w:tblGrid>
        <w:gridCol w:w="9497"/>
      </w:tblGrid>
      <w:tr w:rsidTr="00E92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t>Testing</w:t>
            </w:r>
          </w:p>
        </w:tc>
      </w:tr>
    </w:tbl>
    <w:p w:rsidR="00000000" w:rsidRPr="00E92994" w:rsidP="00E92994">
      <w:pPr>
        <w:pStyle w:val="NoPaddingFontSize1"/>
      </w:pPr>
    </w:p>
    <w:p w:rsidR="00000000" w:rsidRPr="00E92994" w:rsidP="00E92994">
      <w:pPr>
        <w:pStyle w:val="AllowPageBreak"/>
      </w:pPr>
    </w:p>
    <w:p w:rsidR="00000000" w:rsidRPr="00E92994" w:rsidP="00E92994">
      <w:pPr>
        <w:pStyle w:val="Heading1"/>
      </w:pPr>
      <w:bookmarkStart w:id="5" w:name="O_1177849"/>
      <w:bookmarkEnd w:id="5"/>
      <w:r w:rsidRPr="00E92994">
        <w:t>Unit Sector</w:t>
      </w:r>
    </w:p>
    <w:tbl>
      <w:tblPr>
        <w:tblW w:w="9497" w:type="dxa"/>
        <w:tblLayout w:type="fixed"/>
        <w:tblCellMar>
          <w:left w:w="62" w:type="dxa"/>
          <w:right w:w="62" w:type="dxa"/>
        </w:tblCellMar>
        <w:tblLook w:val="0000"/>
      </w:tblPr>
      <w:tblGrid>
        <w:gridCol w:w="9497"/>
      </w:tblGrid>
      <w:tr w:rsidTr="00E92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t>Not applicable.</w:t>
            </w:r>
          </w:p>
        </w:tc>
      </w:tr>
    </w:tbl>
    <w:p w:rsidR="00000000" w:rsidRPr="00E92994" w:rsidP="00E92994">
      <w:pPr>
        <w:pStyle w:val="NoPaddingFontSize1"/>
      </w:pPr>
    </w:p>
    <w:p w:rsidR="00000000" w:rsidRPr="00E92994" w:rsidP="00E92994">
      <w:pPr>
        <w:pStyle w:val="AllowPageBreak"/>
      </w:pPr>
    </w:p>
    <w:p w:rsidR="00000000" w:rsidRPr="00E92994" w:rsidP="00E92994">
      <w:pPr>
        <w:pStyle w:val="Heading1"/>
      </w:pPr>
      <w:bookmarkStart w:id="6" w:name="O_1177850"/>
      <w:bookmarkEnd w:id="6"/>
      <w:r w:rsidRPr="00E92994">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E9299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PERFORMANCE CRITERIA</w:t>
            </w:r>
          </w:p>
        </w:tc>
      </w:tr>
      <w:tr w:rsidTr="00E92994">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Performance criteria describe the performance needed to demonstrate achievement of the element.</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rPr>
                <w:rStyle w:val="SpecialBold"/>
              </w:rPr>
              <w:t>Plan for the verification and certification of revenue metering/energy measurement instruments</w:t>
            </w: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Work health a</w:t>
            </w:r>
            <w:r w:rsidRPr="00E92994">
              <w:t>nd safety (WHS)/occupational health and safety (OHS) practices/procedures and environmental and sustainable energy procedures, which may influence verification and certification of revenue metering/energy measurement instruments, are reviewed and determine</w:t>
            </w:r>
            <w:r w:rsidRPr="00E92994">
              <w:t>d</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Purpose of the verification and certification of revenue metering/energy measurement instruments is established after data is analysed and expected outcomes of the work are confirmed with appropriate personnel</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Organisational established procedures, policies and specifications for the verification and certification of revenue metering/energy measurement instruments are obtained or established with appropriate personnel</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Verification and certification of rev</w:t>
            </w:r>
            <w:r w:rsidRPr="00E92994">
              <w:t>enue metering/energy measurement instruments procedures are discussed with/directed to appropriate personnel in order to ascertain the project brief</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Verification and certification parameters are established from organisational established procedures</w:t>
            </w:r>
            <w:r w:rsidRPr="00E92994">
              <w:t xml:space="preserve"> policies and specifications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Equipment/tools and personal protective equipment (PPE) are selected based on specified performance criteria and established procedures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Work roles and tasks are allocated according to requirements and individual competencies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Work is prioritised and sequenced for the most efficient/effective outcome, completed within an acceptable timeframe, to a quality standard and in accordance wi</w:t>
            </w:r>
            <w:r w:rsidRPr="00E92994">
              <w:t>th established procedures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Liaison and communication issues with others/authorised personnel, authorities, clients and customers are resolved and activities coordinated to carry out work</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Risk control measures are identified, prioritised and e</w:t>
            </w:r>
            <w:r w:rsidRPr="00E92994">
              <w:t>valuated against the work schedule</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Relevant internal/external work permits are obtained to coordinate the performance of work according to requirements and/or established procedures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rPr>
                <w:rStyle w:val="SpecialBold"/>
              </w:rPr>
              <w:t>Carry out the verification and certification of revenue metering/energy measurement instruments</w:t>
            </w: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 xml:space="preserve">WHS/OHS and sustainable energy principles, functionality and practices to prevent the incidents of accidents and minimise waste are incorporated </w:t>
            </w:r>
            <w:r w:rsidRPr="00E92994">
              <w:t>into the project in accordance with requirements and/or established procedures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First aid, rescue and other related work procedures are performed according to requirements and/or established procedures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Lifting, climbing and use of power tools/</w:t>
            </w:r>
            <w:r w:rsidRPr="00E92994">
              <w:t>equipment, techniques and practices are safely exercised according to requirements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Hazard warnings and safety signs are recognised and hazards and assessed WHS/OHS risks are reported to immediate authorised personnel for directions according to esta</w:t>
            </w:r>
            <w:r w:rsidRPr="00E92994">
              <w:t>blished procedures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Remedial actions are taken to overcome any shortfalls encountered in the work schedule according to requirements and/or established procedures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Testing equipment is used in accordance with the work schedule and requirements and/or established procedures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Verification and certification of revenue metering/energy measurement instruments is carried out in accordance with the work schedule</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2.</w:t>
            </w:r>
            <w:r w:rsidRPr="00E92994">
              <w:rPr>
                <w:rStyle w:val="SpecialBold"/>
              </w:rPr>
              <w:t>8</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Technical advice is given regarding potential hazards, safety risks and control measures so that monitoring and preventative action can be undertaken and/or appropriate authorities consulted, where necessary, in accordance with requirements and establish</w:t>
            </w:r>
            <w:r w:rsidRPr="00E92994">
              <w:t>ed procedures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Essential knowledge and associated skills are applied in the safe verification and certification of revenue metering/energy measurement instruments to ensure completion in an agreed timeframe according to requirements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Solutions to non-routine problems are identified and actioned, using essential knowledge and associated skills, according to requirements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Quality of work is monitored against personal performance agreement and/or established organisational and prof</w:t>
            </w:r>
            <w:r w:rsidRPr="00E92994">
              <w:t>essional standards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rPr>
                <w:rStyle w:val="SpecialBold"/>
              </w:rPr>
              <w:t>Complete the verification and certification of revenue metering/energy measurement instruments</w:t>
            </w: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Final inspections of the verification and certification of revenue metering/energy measurement instruments using routine tests and acce</w:t>
            </w:r>
            <w:r w:rsidRPr="00E92994">
              <w:t>ptance tests are undertaken to ensure they comply with all requirements and include all specifications and documents needed to complete the project</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Appropriate personnel are notified of completion and reports and/or completion documents are finalise</w:t>
            </w:r>
            <w:r w:rsidRPr="00E92994">
              <w:t>d/commissioned according to established procedures and timeframes</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t>Reports and/or completion documents are submitted to relevant personnel/organisations for approval and, where applicable, statutory or regulatory approval</w:t>
            </w:r>
          </w:p>
        </w:tc>
      </w:tr>
      <w:tr w:rsidTr="00E92994">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92994">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E92994">
            <w:pPr>
              <w:pStyle w:val="BodyText"/>
              <w:rPr>
                <w:lang w:val="en-NZ"/>
              </w:rPr>
            </w:pPr>
            <w:r w:rsidRPr="00E92994">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t>Approved copies of routine testing and acceptance testing procedures/activities/results, for the verification and certification of revenue metering/energy measurement instruments, documents are issued and records updated in accordance with established proc</w:t>
            </w:r>
            <w:r w:rsidRPr="00E92994">
              <w:t>edures</w:t>
            </w:r>
          </w:p>
        </w:tc>
      </w:tr>
    </w:tbl>
    <w:p w:rsidR="00000000" w:rsidRPr="00E92994" w:rsidP="00E92994">
      <w:pPr>
        <w:pStyle w:val="NoPaddingFontSize1"/>
      </w:pPr>
    </w:p>
    <w:p w:rsidR="00000000" w:rsidRPr="00E92994" w:rsidP="00E92994">
      <w:pPr>
        <w:pStyle w:val="AllowPageBreak"/>
      </w:pPr>
    </w:p>
    <w:p w:rsidR="00000000" w:rsidRPr="00E92994" w:rsidP="00E92994">
      <w:pPr>
        <w:pStyle w:val="Heading1"/>
      </w:pPr>
      <w:bookmarkStart w:id="7" w:name="O_1177851"/>
      <w:bookmarkEnd w:id="7"/>
      <w:r w:rsidRPr="00E92994">
        <w:t>Foundation Skills</w:t>
      </w:r>
    </w:p>
    <w:tbl>
      <w:tblPr>
        <w:tblW w:w="9497" w:type="dxa"/>
        <w:tblLayout w:type="fixed"/>
        <w:tblCellMar>
          <w:left w:w="62" w:type="dxa"/>
          <w:right w:w="62" w:type="dxa"/>
        </w:tblCellMar>
        <w:tblLook w:val="0000"/>
      </w:tblPr>
      <w:tblGrid>
        <w:gridCol w:w="9497"/>
      </w:tblGrid>
      <w:tr w:rsidTr="00E92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t>Foundation skills essential to performance are explicit in the performance criteria of this unit of competency.</w:t>
            </w:r>
          </w:p>
        </w:tc>
      </w:tr>
    </w:tbl>
    <w:p w:rsidR="00000000" w:rsidRPr="00E92994" w:rsidP="00E92994">
      <w:pPr>
        <w:pStyle w:val="NoPaddingFontSize1"/>
      </w:pPr>
    </w:p>
    <w:p w:rsidR="00000000" w:rsidRPr="00E92994" w:rsidP="00E92994">
      <w:pPr>
        <w:pStyle w:val="AllowPageBreak"/>
      </w:pPr>
    </w:p>
    <w:p w:rsidR="00000000" w:rsidRPr="00E92994" w:rsidP="00E92994">
      <w:pPr>
        <w:pStyle w:val="Heading1"/>
      </w:pPr>
      <w:bookmarkStart w:id="8" w:name="O_1177852"/>
      <w:bookmarkEnd w:id="8"/>
      <w:r w:rsidRPr="00E92994">
        <w:t>Range of Conditions</w:t>
      </w:r>
    </w:p>
    <w:tbl>
      <w:tblPr>
        <w:tblW w:w="9497" w:type="dxa"/>
        <w:tblLayout w:type="fixed"/>
        <w:tblCellMar>
          <w:left w:w="62" w:type="dxa"/>
          <w:right w:w="62" w:type="dxa"/>
        </w:tblCellMar>
        <w:tblLook w:val="0000"/>
      </w:tblPr>
      <w:tblGrid>
        <w:gridCol w:w="9497"/>
      </w:tblGrid>
      <w:tr w:rsidTr="00E92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t>Range is restricted to essential operating conditions and any other variables essential to the work environment.</w:t>
            </w:r>
          </w:p>
          <w:p w:rsidR="00000000" w:rsidRPr="00E92994" w:rsidP="00E92994">
            <w:pPr>
              <w:pStyle w:val="BodyText"/>
            </w:pPr>
            <w:r w:rsidRPr="00E92994">
              <w:t>Non-essential conditions may be found in the UET Transmission, Distribution and Rail Sector Training Package Companion Volume Implementation Gu</w:t>
            </w:r>
            <w:r w:rsidRPr="00E92994">
              <w:t>ide.</w:t>
            </w:r>
          </w:p>
        </w:tc>
      </w:tr>
    </w:tbl>
    <w:p w:rsidR="00000000" w:rsidRPr="00E92994" w:rsidP="00E92994">
      <w:pPr>
        <w:pStyle w:val="NoPaddingFontSize1"/>
      </w:pPr>
    </w:p>
    <w:p w:rsidR="00000000" w:rsidRPr="00E92994" w:rsidP="00E92994">
      <w:pPr>
        <w:pStyle w:val="AllowPageBreak"/>
      </w:pPr>
    </w:p>
    <w:p w:rsidR="00000000" w:rsidRPr="00E92994" w:rsidP="00E92994">
      <w:pPr>
        <w:pStyle w:val="Heading1"/>
      </w:pPr>
      <w:bookmarkStart w:id="9" w:name="O_1177853"/>
      <w:bookmarkEnd w:id="9"/>
      <w:r w:rsidRPr="00E92994">
        <w:t>Unit Mapping Information</w:t>
      </w:r>
    </w:p>
    <w:tbl>
      <w:tblPr>
        <w:tblW w:w="9497" w:type="dxa"/>
        <w:tblLayout w:type="fixed"/>
        <w:tblCellMar>
          <w:left w:w="62" w:type="dxa"/>
          <w:right w:w="62" w:type="dxa"/>
        </w:tblCellMar>
        <w:tblLook w:val="0000"/>
      </w:tblPr>
      <w:tblGrid>
        <w:gridCol w:w="9497"/>
      </w:tblGrid>
      <w:tr w:rsidTr="00E929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92994" w:rsidP="00E92994">
            <w:pPr>
              <w:pStyle w:val="BodyText"/>
            </w:pPr>
            <w:r w:rsidRPr="00E92994">
              <w:t>This unit replaces and is equivalent to UETTDRTS46 Verification and certification of revenue metering/energy measurement instruments.</w:t>
            </w:r>
          </w:p>
        </w:tc>
      </w:tr>
    </w:tbl>
    <w:p w:rsidR="00000000" w:rsidRPr="00E92994" w:rsidP="00E92994">
      <w:pPr>
        <w:pStyle w:val="NoPaddingFontSize1"/>
      </w:pPr>
    </w:p>
    <w:p w:rsidR="00000000" w:rsidRPr="00E92994" w:rsidP="00E92994">
      <w:pPr>
        <w:pStyle w:val="AllowPageBreak"/>
      </w:pPr>
    </w:p>
    <w:p w:rsidR="00000000" w:rsidRPr="00E92994" w:rsidP="00E92994">
      <w:pPr>
        <w:pStyle w:val="Heading1"/>
      </w:pPr>
      <w:bookmarkStart w:id="10" w:name="O_1177860"/>
      <w:bookmarkEnd w:id="10"/>
      <w:r w:rsidRPr="00E92994">
        <w:t>Links</w:t>
      </w:r>
    </w:p>
    <w:p w:rsidR="00000000" w:rsidRPr="00E92994" w:rsidP="00895ACB">
      <w:pPr>
        <w:pStyle w:val="BodyText"/>
      </w:pPr>
      <w:r w:rsidRPr="00E92994">
        <w:t>Companion Volume Implementation Guides are f</w:t>
      </w:r>
      <w:r w:rsidRPr="00E92994">
        <w:t xml:space="preserve">ound in VETNet - </w:t>
      </w:r>
      <w:r>
        <w:fldChar w:fldCharType="begin"/>
      </w:r>
      <w:r>
        <w:instrText xml:space="preserve"> HYPERLINK "https://vetnet.gov.au/Pages/TrainingDocs.aspx?q=229bace1-b7bc-4653-9300-dffb13ecfad7" </w:instrText>
      </w:r>
      <w:r>
        <w:fldChar w:fldCharType="separate"/>
      </w:r>
      <w:r w:rsidRPr="00BB24AB">
        <w:rPr>
          <w:rStyle w:val="Hyperlink"/>
        </w:rPr>
        <w:t>https://vetnet.gov.au/Pages/TrainingDocs.aspx?q=229bace1-b7bc-4653-9300-dffb13ecfad7</w:t>
      </w:r>
      <w:r>
        <w:fldChar w:fldCharType="end"/>
      </w:r>
    </w:p>
    <w:p w:rsidR="00000000" w:rsidRPr="00E92994" w:rsidP="00E92994"/>
    <w:sectPr w:rsidSect="00E929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9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994" w:rsidRPr="00895ACB" w:rsidP="00895A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9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CB" w:rsidP="00E929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95ACB" w:rsidP="00E9299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95ACB" w:rsidP="00E929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9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2994" w:rsidRPr="00895ACB" w:rsidP="00895A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9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5ACB" w:rsidRPr="002D2AF8" w:rsidP="00E92994">
    <w:pPr>
      <w:pStyle w:val="Header"/>
      <w:framePr w:wrap="around"/>
    </w:pPr>
    <w:r>
      <w:fldChar w:fldCharType="begin"/>
    </w:r>
    <w:r>
      <w:instrText xml:space="preserve"> TITLE   \* MERGEFORMAT </w:instrText>
    </w:r>
    <w:r>
      <w:fldChar w:fldCharType="separate"/>
    </w:r>
    <w:r>
      <w:t>UETDRTS027 Verification and certification of revenue metering/energy measurement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895ACB" w:rsidP="00E929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29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2994"/>
    <w:pPr>
      <w:spacing w:before="360" w:after="60"/>
      <w:outlineLvl w:val="0"/>
    </w:pPr>
    <w:rPr>
      <w:sz w:val="32"/>
    </w:rPr>
  </w:style>
  <w:style w:type="paragraph" w:styleId="Heading2">
    <w:name w:val="heading 2"/>
    <w:basedOn w:val="HeadingBase"/>
    <w:next w:val="BodyText"/>
    <w:link w:val="Heading2Char"/>
    <w:qFormat/>
    <w:rsid w:val="00E92994"/>
    <w:pPr>
      <w:keepLines/>
      <w:spacing w:before="240" w:after="120"/>
      <w:outlineLvl w:val="1"/>
    </w:pPr>
    <w:rPr>
      <w:sz w:val="28"/>
      <w:szCs w:val="40"/>
    </w:rPr>
  </w:style>
  <w:style w:type="paragraph" w:styleId="Heading3">
    <w:name w:val="heading 3"/>
    <w:basedOn w:val="HeadingBase"/>
    <w:next w:val="BodyText"/>
    <w:link w:val="Heading3Char"/>
    <w:qFormat/>
    <w:rsid w:val="00E92994"/>
    <w:pPr>
      <w:spacing w:before="180" w:after="120"/>
      <w:outlineLvl w:val="2"/>
    </w:pPr>
    <w:rPr>
      <w:spacing w:val="-10"/>
      <w:kern w:val="32"/>
    </w:rPr>
  </w:style>
  <w:style w:type="paragraph" w:styleId="Heading4">
    <w:name w:val="heading 4"/>
    <w:basedOn w:val="HeadingBase"/>
    <w:next w:val="BodyText"/>
    <w:link w:val="Heading4Char"/>
    <w:qFormat/>
    <w:rsid w:val="00E92994"/>
    <w:pPr>
      <w:spacing w:before="160" w:after="120"/>
      <w:outlineLvl w:val="3"/>
    </w:pPr>
    <w:rPr>
      <w:sz w:val="22"/>
    </w:rPr>
  </w:style>
  <w:style w:type="paragraph" w:styleId="Heading5">
    <w:name w:val="heading 5"/>
    <w:basedOn w:val="HeadingBase"/>
    <w:next w:val="Normal"/>
    <w:link w:val="Heading5Char"/>
    <w:qFormat/>
    <w:rsid w:val="00E92994"/>
    <w:pPr>
      <w:spacing w:before="80"/>
      <w:outlineLvl w:val="4"/>
    </w:pPr>
    <w:rPr>
      <w:color w:val="918585"/>
      <w:sz w:val="20"/>
    </w:rPr>
  </w:style>
  <w:style w:type="paragraph" w:styleId="Heading6">
    <w:name w:val="heading 6"/>
    <w:basedOn w:val="HeadingBase"/>
    <w:next w:val="Normal"/>
    <w:link w:val="Heading6Char"/>
    <w:qFormat/>
    <w:rsid w:val="00E92994"/>
    <w:pPr>
      <w:spacing w:before="60"/>
      <w:outlineLvl w:val="5"/>
    </w:pPr>
    <w:rPr>
      <w:color w:val="918585"/>
      <w:sz w:val="20"/>
    </w:rPr>
  </w:style>
  <w:style w:type="paragraph" w:styleId="Heading7">
    <w:name w:val="heading 7"/>
    <w:basedOn w:val="Normal"/>
    <w:next w:val="Normal"/>
    <w:link w:val="Heading7Char"/>
    <w:qFormat/>
    <w:rsid w:val="00E92994"/>
    <w:pPr>
      <w:ind w:left="720"/>
      <w:outlineLvl w:val="6"/>
    </w:pPr>
    <w:rPr>
      <w:i/>
    </w:rPr>
  </w:style>
  <w:style w:type="paragraph" w:styleId="Heading8">
    <w:name w:val="heading 8"/>
    <w:basedOn w:val="Normal"/>
    <w:next w:val="Normal"/>
    <w:link w:val="Heading8Char"/>
    <w:qFormat/>
    <w:rsid w:val="00E92994"/>
    <w:pPr>
      <w:ind w:left="720"/>
      <w:outlineLvl w:val="7"/>
    </w:pPr>
    <w:rPr>
      <w:i/>
    </w:rPr>
  </w:style>
  <w:style w:type="paragraph" w:styleId="Heading9">
    <w:name w:val="heading 9"/>
    <w:basedOn w:val="Normal"/>
    <w:next w:val="Normal"/>
    <w:link w:val="Heading9Char"/>
    <w:qFormat/>
    <w:rsid w:val="00E92994"/>
    <w:pPr>
      <w:ind w:left="720"/>
      <w:outlineLvl w:val="8"/>
    </w:pPr>
    <w:rPr>
      <w:i/>
    </w:rPr>
  </w:style>
  <w:style w:type="character" w:default="1" w:styleId="DefaultParagraphFont">
    <w:name w:val="Default Paragraph Font"/>
    <w:uiPriority w:val="1"/>
    <w:unhideWhenUsed/>
    <w:rsid w:val="00E929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2994"/>
  </w:style>
  <w:style w:type="character" w:customStyle="1" w:styleId="Heading1Char">
    <w:name w:val="Heading 1 Char"/>
    <w:basedOn w:val="DefaultParagraphFont"/>
    <w:link w:val="Heading1"/>
    <w:rsid w:val="00E92994"/>
    <w:rPr>
      <w:rFonts w:ascii="Times New Roman" w:eastAsia="Times New Roman" w:hAnsi="Times New Roman" w:cs="Times New Roman"/>
      <w:b/>
      <w:sz w:val="32"/>
      <w:szCs w:val="20"/>
      <w:lang w:eastAsia="en-US"/>
    </w:rPr>
  </w:style>
  <w:style w:type="paragraph" w:styleId="BodyText">
    <w:name w:val="Body Text"/>
    <w:basedOn w:val="Normal"/>
    <w:link w:val="BodyTextChar"/>
    <w:rsid w:val="00E929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2994"/>
    <w:rPr>
      <w:rFonts w:ascii="Times New Roman" w:eastAsia="Times New Roman" w:hAnsi="Times New Roman" w:cs="Times New Roman"/>
      <w:sz w:val="24"/>
      <w:lang w:eastAsia="en-US"/>
    </w:rPr>
  </w:style>
  <w:style w:type="character" w:customStyle="1" w:styleId="SpecialBold">
    <w:name w:val="Special Bold"/>
    <w:basedOn w:val="DefaultParagraphFont"/>
    <w:rsid w:val="00E92994"/>
    <w:rPr>
      <w:b/>
      <w:spacing w:val="0"/>
    </w:rPr>
  </w:style>
  <w:style w:type="paragraph" w:customStyle="1" w:styleId="SuperHeading">
    <w:name w:val="SuperHeading"/>
    <w:basedOn w:val="Normal"/>
    <w:rsid w:val="00E92994"/>
    <w:pPr>
      <w:spacing w:before="240" w:after="120"/>
      <w:outlineLvl w:val="0"/>
    </w:pPr>
    <w:rPr>
      <w:rFonts w:ascii="Times New Roman" w:hAnsi="Times New Roman"/>
      <w:b/>
      <w:sz w:val="32"/>
    </w:rPr>
  </w:style>
  <w:style w:type="paragraph" w:customStyle="1" w:styleId="AllowPageBreak">
    <w:name w:val="AllowPageBreak"/>
    <w:rsid w:val="00E929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929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29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29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29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29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29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29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2994"/>
    <w:rPr>
      <w:rFonts w:ascii="Courier New" w:eastAsia="Times New Roman" w:hAnsi="Courier New" w:cs="Times New Roman"/>
      <w:i/>
      <w:szCs w:val="20"/>
      <w:lang w:eastAsia="en-US"/>
    </w:rPr>
  </w:style>
  <w:style w:type="paragraph" w:customStyle="1" w:styleId="HeadingBase">
    <w:name w:val="Heading Base"/>
    <w:rsid w:val="00E929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2994"/>
    <w:pPr>
      <w:tabs>
        <w:tab w:val="right" w:leader="dot" w:pos="9072"/>
      </w:tabs>
      <w:ind w:left="567"/>
    </w:pPr>
    <w:rPr>
      <w:szCs w:val="22"/>
    </w:rPr>
  </w:style>
  <w:style w:type="paragraph" w:customStyle="1" w:styleId="TOCBase">
    <w:name w:val="TOC Base"/>
    <w:rsid w:val="00E929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2994"/>
    <w:pPr>
      <w:tabs>
        <w:tab w:val="right" w:leader="dot" w:pos="9072"/>
      </w:tabs>
      <w:spacing w:before="40" w:after="40"/>
      <w:ind w:left="284"/>
    </w:pPr>
    <w:rPr>
      <w:rFonts w:ascii="Times New Roman" w:hAnsi="Times New Roman"/>
    </w:rPr>
  </w:style>
  <w:style w:type="paragraph" w:styleId="TOC1">
    <w:name w:val="toc 1"/>
    <w:basedOn w:val="TOCBase"/>
    <w:next w:val="Normal"/>
    <w:rsid w:val="00E929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29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2994"/>
    <w:rPr>
      <w:rFonts w:ascii="Times New Roman" w:eastAsia="Times New Roman" w:hAnsi="Times New Roman" w:cs="Times New Roman"/>
      <w:sz w:val="16"/>
      <w:lang w:eastAsia="en-US"/>
    </w:rPr>
  </w:style>
  <w:style w:type="paragraph" w:styleId="Title">
    <w:name w:val="Title"/>
    <w:basedOn w:val="HeadingBase"/>
    <w:link w:val="TitleChar"/>
    <w:qFormat/>
    <w:rsid w:val="00E92994"/>
    <w:pPr>
      <w:spacing w:before="5040"/>
      <w:jc w:val="center"/>
    </w:pPr>
    <w:rPr>
      <w:sz w:val="48"/>
      <w:szCs w:val="72"/>
      <w:lang w:val="en-US"/>
    </w:rPr>
  </w:style>
  <w:style w:type="character" w:customStyle="1" w:styleId="TitleChar">
    <w:name w:val="Title Char"/>
    <w:basedOn w:val="DefaultParagraphFont"/>
    <w:link w:val="Title"/>
    <w:rsid w:val="00E929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2994"/>
    <w:pPr>
      <w:tabs>
        <w:tab w:val="left" w:pos="3600"/>
        <w:tab w:val="left" w:pos="3958"/>
      </w:tabs>
    </w:pPr>
  </w:style>
  <w:style w:type="paragraph" w:styleId="List">
    <w:name w:val="List"/>
    <w:basedOn w:val="BodyText"/>
    <w:next w:val="BodyText"/>
    <w:rsid w:val="00E92994"/>
    <w:pPr>
      <w:tabs>
        <w:tab w:val="left" w:pos="340"/>
      </w:tabs>
      <w:spacing w:before="60" w:after="60"/>
      <w:ind w:left="340" w:hanging="340"/>
    </w:pPr>
  </w:style>
  <w:style w:type="paragraph" w:styleId="ListBullet">
    <w:name w:val="List Bullet"/>
    <w:basedOn w:val="List"/>
    <w:rsid w:val="00E92994"/>
    <w:pPr>
      <w:numPr>
        <w:numId w:val="10"/>
      </w:numPr>
      <w:tabs>
        <w:tab w:val="clear" w:pos="340"/>
      </w:tabs>
      <w:spacing w:before="40" w:after="40"/>
    </w:pPr>
  </w:style>
  <w:style w:type="paragraph" w:customStyle="1" w:styleId="Note">
    <w:name w:val="Note"/>
    <w:basedOn w:val="BodyText"/>
    <w:rsid w:val="00E929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2994"/>
    <w:pPr>
      <w:framePr w:wrap="auto" w:hAnchor="text" w:y="6049"/>
    </w:pPr>
    <w:rPr>
      <w:color w:val="000000"/>
      <w:sz w:val="40"/>
    </w:rPr>
  </w:style>
  <w:style w:type="paragraph" w:customStyle="1" w:styleId="TOCTitle">
    <w:name w:val="TOCTitle"/>
    <w:basedOn w:val="Heading1"/>
    <w:rsid w:val="00E92994"/>
    <w:pPr>
      <w:spacing w:after="240"/>
      <w:jc w:val="center"/>
      <w:outlineLvl w:val="9"/>
    </w:pPr>
    <w:rPr>
      <w:caps/>
    </w:rPr>
  </w:style>
  <w:style w:type="paragraph" w:customStyle="1" w:styleId="Version">
    <w:name w:val="Version"/>
    <w:rsid w:val="00E929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92994"/>
    <w:pPr>
      <w:numPr>
        <w:numId w:val="11"/>
      </w:numPr>
      <w:tabs>
        <w:tab w:val="clear" w:pos="680"/>
      </w:tabs>
    </w:pPr>
  </w:style>
  <w:style w:type="paragraph" w:styleId="Index1">
    <w:name w:val="index 1"/>
    <w:basedOn w:val="Normal"/>
    <w:next w:val="Normal"/>
    <w:semiHidden/>
    <w:rsid w:val="00E92994"/>
    <w:pPr>
      <w:keepNext w:val="0"/>
      <w:tabs>
        <w:tab w:val="right" w:pos="4176"/>
      </w:tabs>
      <w:ind w:left="198" w:hanging="198"/>
    </w:pPr>
    <w:rPr>
      <w:rFonts w:ascii="Garamond" w:hAnsi="Garamond"/>
    </w:rPr>
  </w:style>
  <w:style w:type="paragraph" w:styleId="IndexHeading">
    <w:name w:val="index heading"/>
    <w:basedOn w:val="Normal"/>
    <w:next w:val="Index1"/>
    <w:semiHidden/>
    <w:rsid w:val="00E92994"/>
    <w:pPr>
      <w:spacing w:before="120" w:after="120"/>
    </w:pPr>
    <w:rPr>
      <w:rFonts w:ascii="Arial" w:hAnsi="Arial"/>
      <w:b/>
      <w:color w:val="918585"/>
      <w:sz w:val="24"/>
    </w:rPr>
  </w:style>
  <w:style w:type="paragraph" w:styleId="Header">
    <w:name w:val="header"/>
    <w:basedOn w:val="Normal"/>
    <w:link w:val="HeaderChar"/>
    <w:rsid w:val="00E929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2994"/>
    <w:rPr>
      <w:rFonts w:ascii="Times New Roman" w:eastAsia="Times New Roman" w:hAnsi="Times New Roman" w:cs="Times New Roman"/>
      <w:sz w:val="16"/>
      <w:szCs w:val="20"/>
      <w:lang w:val="en-GB" w:eastAsia="en-US"/>
    </w:rPr>
  </w:style>
  <w:style w:type="paragraph" w:customStyle="1" w:styleId="Chapter">
    <w:name w:val="Chapter"/>
    <w:basedOn w:val="Normal"/>
    <w:rsid w:val="00E92994"/>
    <w:pPr>
      <w:spacing w:before="240"/>
    </w:pPr>
    <w:rPr>
      <w:rFonts w:ascii="Times New Roman" w:hAnsi="Times New Roman"/>
      <w:smallCaps/>
      <w:spacing w:val="80"/>
      <w:sz w:val="28"/>
    </w:rPr>
  </w:style>
  <w:style w:type="paragraph" w:customStyle="1" w:styleId="InChapter">
    <w:name w:val="InChapter"/>
    <w:basedOn w:val="Heading3"/>
    <w:rsid w:val="00E92994"/>
    <w:pPr>
      <w:spacing w:after="240"/>
      <w:outlineLvl w:val="9"/>
    </w:pPr>
    <w:rPr>
      <w:noProof/>
    </w:rPr>
  </w:style>
  <w:style w:type="paragraph" w:styleId="Index2">
    <w:name w:val="index 2"/>
    <w:basedOn w:val="Normal"/>
    <w:next w:val="Normal"/>
    <w:semiHidden/>
    <w:rsid w:val="00E92994"/>
    <w:pPr>
      <w:tabs>
        <w:tab w:val="right" w:pos="4176"/>
      </w:tabs>
      <w:ind w:left="568" w:hanging="284"/>
    </w:pPr>
    <w:rPr>
      <w:rFonts w:ascii="Garamond" w:hAnsi="Garamond"/>
    </w:rPr>
  </w:style>
  <w:style w:type="paragraph" w:customStyle="1" w:styleId="Byline">
    <w:name w:val="Byline"/>
    <w:rsid w:val="00E929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2994"/>
    <w:pPr>
      <w:tabs>
        <w:tab w:val="clear" w:pos="3600"/>
        <w:tab w:val="clear" w:pos="3958"/>
      </w:tabs>
      <w:jc w:val="right"/>
    </w:pPr>
  </w:style>
  <w:style w:type="character" w:styleId="Emphasis">
    <w:name w:val="Emphasis"/>
    <w:basedOn w:val="DefaultParagraphFont"/>
    <w:qFormat/>
    <w:rsid w:val="00E92994"/>
    <w:rPr>
      <w:i/>
    </w:rPr>
  </w:style>
  <w:style w:type="paragraph" w:styleId="Caption">
    <w:name w:val="caption"/>
    <w:basedOn w:val="BodyText"/>
    <w:next w:val="Normal"/>
    <w:qFormat/>
    <w:rsid w:val="00E92994"/>
    <w:pPr>
      <w:framePr w:w="2268" w:hSpace="181" w:vSpace="181" w:wrap="around" w:vAnchor="text" w:hAnchor="page" w:x="1135" w:y="285" w:anchorLock="1"/>
    </w:pPr>
    <w:rPr>
      <w:i/>
    </w:rPr>
  </w:style>
  <w:style w:type="paragraph" w:customStyle="1" w:styleId="MiniTOCTitle">
    <w:name w:val="MiniTOCTitle"/>
    <w:basedOn w:val="Heading4"/>
    <w:rsid w:val="00E92994"/>
    <w:pPr>
      <w:spacing w:before="240"/>
      <w:outlineLvl w:val="9"/>
    </w:pPr>
    <w:rPr>
      <w:noProof/>
      <w:sz w:val="24"/>
    </w:rPr>
  </w:style>
  <w:style w:type="paragraph" w:customStyle="1" w:styleId="MiniTOCItem">
    <w:name w:val="MiniTOCItem"/>
    <w:basedOn w:val="ListBullet"/>
    <w:rsid w:val="00E92994"/>
    <w:pPr>
      <w:numPr>
        <w:numId w:val="0"/>
      </w:numPr>
      <w:tabs>
        <w:tab w:val="right" w:leader="dot" w:pos="6521"/>
      </w:tabs>
      <w:spacing w:before="0" w:after="0"/>
    </w:pPr>
  </w:style>
  <w:style w:type="paragraph" w:customStyle="1" w:styleId="TOFTitle">
    <w:name w:val="TOFTitle"/>
    <w:basedOn w:val="TOCTitle"/>
    <w:rsid w:val="00E92994"/>
  </w:style>
  <w:style w:type="paragraph" w:styleId="TableofFigures">
    <w:name w:val="table of figures"/>
    <w:basedOn w:val="Normal"/>
    <w:next w:val="Normal"/>
    <w:semiHidden/>
    <w:rsid w:val="00E92994"/>
    <w:pPr>
      <w:tabs>
        <w:tab w:val="right" w:leader="dot" w:pos="9072"/>
      </w:tabs>
      <w:ind w:left="970" w:hanging="403"/>
    </w:pPr>
    <w:rPr>
      <w:rFonts w:ascii="Times New Roman" w:hAnsi="Times New Roman"/>
      <w:b/>
    </w:rPr>
  </w:style>
  <w:style w:type="paragraph" w:styleId="ListNumber">
    <w:name w:val="List Number"/>
    <w:basedOn w:val="List"/>
    <w:rsid w:val="00E92994"/>
    <w:pPr>
      <w:numPr>
        <w:numId w:val="13"/>
      </w:numPr>
      <w:tabs>
        <w:tab w:val="clear" w:pos="340"/>
      </w:tabs>
    </w:pPr>
  </w:style>
  <w:style w:type="character" w:customStyle="1" w:styleId="WingdingSymbols">
    <w:name w:val="Wingding Symbols"/>
    <w:rsid w:val="00E92994"/>
    <w:rPr>
      <w:rFonts w:ascii="Wingdings" w:hAnsi="Wingdings"/>
    </w:rPr>
  </w:style>
  <w:style w:type="paragraph" w:customStyle="1" w:styleId="TableHeading">
    <w:name w:val="Table Heading"/>
    <w:basedOn w:val="HeadingBase"/>
    <w:rsid w:val="00E92994"/>
    <w:pPr>
      <w:keepLines/>
      <w:pBdr>
        <w:bottom w:val="single" w:sz="6" w:space="1" w:color="918585"/>
      </w:pBdr>
      <w:spacing w:before="240"/>
    </w:pPr>
  </w:style>
  <w:style w:type="character" w:customStyle="1" w:styleId="HotSpot">
    <w:name w:val="HotSpot"/>
    <w:rsid w:val="00E92994"/>
    <w:rPr>
      <w:color w:val="0033CC"/>
      <w:u w:val="none"/>
    </w:rPr>
  </w:style>
  <w:style w:type="paragraph" w:customStyle="1" w:styleId="BodyTextRight">
    <w:name w:val="Body Text Right"/>
    <w:basedOn w:val="BodyText"/>
    <w:rsid w:val="00E92994"/>
    <w:pPr>
      <w:spacing w:before="0" w:after="0"/>
      <w:jc w:val="right"/>
    </w:pPr>
  </w:style>
  <w:style w:type="paragraph" w:styleId="Index3">
    <w:name w:val="index 3"/>
    <w:basedOn w:val="ListNumber2"/>
    <w:next w:val="Normal"/>
    <w:semiHidden/>
    <w:rsid w:val="00E92994"/>
    <w:pPr>
      <w:numPr>
        <w:numId w:val="0"/>
      </w:numPr>
      <w:tabs>
        <w:tab w:val="right" w:leader="dot" w:pos="4176"/>
      </w:tabs>
    </w:pPr>
  </w:style>
  <w:style w:type="paragraph" w:styleId="ListNumber2">
    <w:name w:val="List Number 2"/>
    <w:basedOn w:val="List2"/>
    <w:rsid w:val="00E92994"/>
    <w:pPr>
      <w:numPr>
        <w:numId w:val="8"/>
      </w:numPr>
      <w:tabs>
        <w:tab w:val="clear" w:pos="1060"/>
      </w:tabs>
    </w:pPr>
  </w:style>
  <w:style w:type="paragraph" w:customStyle="1" w:styleId="MarginNote">
    <w:name w:val="Margin Note"/>
    <w:basedOn w:val="BodyText"/>
    <w:rsid w:val="00E929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29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29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2994"/>
    <w:rPr>
      <w:sz w:val="32"/>
    </w:rPr>
  </w:style>
  <w:style w:type="paragraph" w:customStyle="1" w:styleId="HeadingProcedure">
    <w:name w:val="Heading Procedure"/>
    <w:basedOn w:val="HeadingBase"/>
    <w:next w:val="Normal"/>
    <w:rsid w:val="00E92994"/>
    <w:pPr>
      <w:tabs>
        <w:tab w:val="left" w:pos="0"/>
      </w:tabs>
      <w:spacing w:before="120" w:after="60"/>
    </w:pPr>
    <w:rPr>
      <w:i/>
      <w:color w:val="918585"/>
      <w:sz w:val="22"/>
    </w:rPr>
  </w:style>
  <w:style w:type="paragraph" w:customStyle="1" w:styleId="TableBodyText">
    <w:name w:val="Table Body Text"/>
    <w:basedOn w:val="BodyText"/>
    <w:rsid w:val="00E92994"/>
    <w:pPr>
      <w:spacing w:before="60" w:after="60"/>
    </w:pPr>
  </w:style>
  <w:style w:type="paragraph" w:styleId="ListContinue">
    <w:name w:val="List Continue"/>
    <w:basedOn w:val="List"/>
    <w:rsid w:val="00E92994"/>
    <w:pPr>
      <w:ind w:firstLine="0"/>
    </w:pPr>
  </w:style>
  <w:style w:type="paragraph" w:customStyle="1" w:styleId="ListNote">
    <w:name w:val="List Note"/>
    <w:basedOn w:val="List"/>
    <w:rsid w:val="00E92994"/>
    <w:pPr>
      <w:pBdr>
        <w:top w:val="single" w:sz="6" w:space="2" w:color="918585"/>
        <w:bottom w:val="single" w:sz="6" w:space="2" w:color="918585"/>
      </w:pBdr>
      <w:tabs>
        <w:tab w:val="left" w:pos="1021"/>
      </w:tabs>
      <w:ind w:firstLine="0"/>
    </w:pPr>
  </w:style>
  <w:style w:type="paragraph" w:customStyle="1" w:styleId="Warning">
    <w:name w:val="Warning"/>
    <w:basedOn w:val="BodyText"/>
    <w:rsid w:val="00E92994"/>
    <w:pPr>
      <w:shd w:val="clear" w:color="auto" w:fill="D9D9D9"/>
      <w:tabs>
        <w:tab w:val="left" w:pos="992"/>
      </w:tabs>
      <w:ind w:left="119" w:right="119"/>
    </w:pPr>
    <w:rPr>
      <w:sz w:val="20"/>
    </w:rPr>
  </w:style>
  <w:style w:type="paragraph" w:customStyle="1" w:styleId="MarginIcons">
    <w:name w:val="Margin Icons"/>
    <w:basedOn w:val="BodyText"/>
    <w:rsid w:val="00E929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2994"/>
    <w:rPr>
      <w:rFonts w:ascii="Courier New" w:hAnsi="Courier New"/>
    </w:rPr>
  </w:style>
  <w:style w:type="paragraph" w:customStyle="1" w:styleId="NoteBullet">
    <w:name w:val="Note Bullet"/>
    <w:basedOn w:val="Note"/>
    <w:rsid w:val="00E92994"/>
    <w:pPr>
      <w:tabs>
        <w:tab w:val="clear" w:pos="680"/>
      </w:tabs>
      <w:spacing w:before="60" w:after="60"/>
    </w:pPr>
  </w:style>
  <w:style w:type="paragraph" w:customStyle="1" w:styleId="SubHeading2">
    <w:name w:val="SubHeading2"/>
    <w:basedOn w:val="HeadingBase"/>
    <w:rsid w:val="00E92994"/>
    <w:pPr>
      <w:spacing w:before="240" w:after="60"/>
    </w:pPr>
    <w:rPr>
      <w:sz w:val="20"/>
    </w:rPr>
  </w:style>
  <w:style w:type="paragraph" w:customStyle="1" w:styleId="SubHeading1">
    <w:name w:val="SubHeading1"/>
    <w:basedOn w:val="HeadingBase"/>
    <w:rsid w:val="00E92994"/>
    <w:pPr>
      <w:spacing w:before="240" w:after="60"/>
    </w:pPr>
    <w:rPr>
      <w:color w:val="918585"/>
      <w:sz w:val="22"/>
    </w:rPr>
  </w:style>
  <w:style w:type="paragraph" w:customStyle="1" w:styleId="SideHeading">
    <w:name w:val="Side Heading"/>
    <w:basedOn w:val="HeadingBase"/>
    <w:rsid w:val="00E929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2994"/>
    <w:pPr>
      <w:numPr>
        <w:numId w:val="9"/>
      </w:numPr>
    </w:pPr>
  </w:style>
  <w:style w:type="paragraph" w:styleId="PlainText">
    <w:name w:val="Plain Text"/>
    <w:basedOn w:val="Normal"/>
    <w:link w:val="PlainTextChar"/>
    <w:rsid w:val="00E92994"/>
    <w:rPr>
      <w:sz w:val="20"/>
    </w:rPr>
  </w:style>
  <w:style w:type="character" w:customStyle="1" w:styleId="PlainTextChar">
    <w:name w:val="Plain Text Char"/>
    <w:basedOn w:val="DefaultParagraphFont"/>
    <w:link w:val="PlainText"/>
    <w:rsid w:val="00E92994"/>
    <w:rPr>
      <w:rFonts w:ascii="Courier New" w:eastAsia="Times New Roman" w:hAnsi="Courier New" w:cs="Times New Roman"/>
      <w:sz w:val="20"/>
      <w:szCs w:val="20"/>
      <w:lang w:eastAsia="en-US"/>
    </w:rPr>
  </w:style>
  <w:style w:type="character" w:customStyle="1" w:styleId="MenuOption">
    <w:name w:val="Menu Option"/>
    <w:basedOn w:val="DefaultParagraphFont"/>
    <w:rsid w:val="00E92994"/>
    <w:rPr>
      <w:b/>
      <w:smallCaps/>
    </w:rPr>
  </w:style>
  <w:style w:type="paragraph" w:customStyle="1" w:styleId="TableListNumber">
    <w:name w:val="Table List Number"/>
    <w:basedOn w:val="ListNumber"/>
    <w:rsid w:val="00E92994"/>
    <w:pPr>
      <w:numPr>
        <w:numId w:val="0"/>
      </w:numPr>
    </w:pPr>
  </w:style>
  <w:style w:type="paragraph" w:styleId="TOC4">
    <w:name w:val="toc 4"/>
    <w:basedOn w:val="TOCBase"/>
    <w:next w:val="Normal"/>
    <w:semiHidden/>
    <w:rsid w:val="00E92994"/>
    <w:pPr>
      <w:tabs>
        <w:tab w:val="right" w:leader="dot" w:pos="9071"/>
      </w:tabs>
      <w:ind w:left="1701"/>
    </w:pPr>
  </w:style>
  <w:style w:type="paragraph" w:customStyle="1" w:styleId="ListAlpha">
    <w:name w:val="List Alpha"/>
    <w:basedOn w:val="List"/>
    <w:rsid w:val="00E92994"/>
    <w:pPr>
      <w:numPr>
        <w:numId w:val="7"/>
      </w:numPr>
    </w:pPr>
  </w:style>
  <w:style w:type="paragraph" w:customStyle="1" w:styleId="ListAlpha2">
    <w:name w:val="List Alpha 2"/>
    <w:basedOn w:val="List2"/>
    <w:rsid w:val="00E92994"/>
    <w:pPr>
      <w:numPr>
        <w:numId w:val="6"/>
      </w:numPr>
    </w:pPr>
  </w:style>
  <w:style w:type="paragraph" w:styleId="List2">
    <w:name w:val="List 2"/>
    <w:basedOn w:val="BodyText"/>
    <w:rsid w:val="00E92994"/>
    <w:pPr>
      <w:tabs>
        <w:tab w:val="left" w:pos="680"/>
      </w:tabs>
      <w:spacing w:before="60" w:after="60"/>
      <w:ind w:left="680" w:hanging="340"/>
    </w:pPr>
  </w:style>
  <w:style w:type="paragraph" w:styleId="List3">
    <w:name w:val="List 3"/>
    <w:basedOn w:val="BodyText"/>
    <w:rsid w:val="00E92994"/>
    <w:pPr>
      <w:tabs>
        <w:tab w:val="left" w:pos="1021"/>
      </w:tabs>
      <w:spacing w:before="60" w:after="60"/>
      <w:ind w:left="1020" w:hanging="340"/>
    </w:pPr>
  </w:style>
  <w:style w:type="paragraph" w:styleId="List4">
    <w:name w:val="List 4"/>
    <w:basedOn w:val="BodyText"/>
    <w:rsid w:val="00E92994"/>
    <w:pPr>
      <w:tabs>
        <w:tab w:val="left" w:pos="1361"/>
      </w:tabs>
      <w:spacing w:before="60" w:after="60"/>
      <w:ind w:left="1361" w:hanging="340"/>
    </w:pPr>
  </w:style>
  <w:style w:type="paragraph" w:styleId="List5">
    <w:name w:val="List 5"/>
    <w:basedOn w:val="BodyText"/>
    <w:rsid w:val="00E92994"/>
    <w:pPr>
      <w:tabs>
        <w:tab w:val="left" w:pos="1701"/>
      </w:tabs>
      <w:spacing w:before="60" w:after="60"/>
      <w:ind w:left="1701" w:hanging="340"/>
    </w:pPr>
  </w:style>
  <w:style w:type="paragraph" w:styleId="ListBullet3">
    <w:name w:val="List Bullet 3"/>
    <w:basedOn w:val="List3"/>
    <w:rsid w:val="00E92994"/>
    <w:pPr>
      <w:numPr>
        <w:numId w:val="12"/>
      </w:numPr>
      <w:tabs>
        <w:tab w:val="clear" w:pos="1021"/>
      </w:tabs>
      <w:ind w:left="1037" w:hanging="357"/>
    </w:pPr>
  </w:style>
  <w:style w:type="paragraph" w:styleId="ListBullet4">
    <w:name w:val="List Bullet 4"/>
    <w:basedOn w:val="List4"/>
    <w:rsid w:val="00E92994"/>
    <w:pPr>
      <w:numPr>
        <w:numId w:val="1"/>
      </w:numPr>
      <w:tabs>
        <w:tab w:val="clear" w:pos="1361"/>
      </w:tabs>
    </w:pPr>
  </w:style>
  <w:style w:type="paragraph" w:styleId="ListBullet5">
    <w:name w:val="List Bullet 5"/>
    <w:basedOn w:val="List5"/>
    <w:rsid w:val="00E92994"/>
    <w:pPr>
      <w:numPr>
        <w:numId w:val="2"/>
      </w:numPr>
    </w:pPr>
  </w:style>
  <w:style w:type="paragraph" w:styleId="ListContinue2">
    <w:name w:val="List Continue 2"/>
    <w:basedOn w:val="List2"/>
    <w:rsid w:val="00E92994"/>
    <w:pPr>
      <w:ind w:firstLine="0"/>
    </w:pPr>
  </w:style>
  <w:style w:type="paragraph" w:styleId="ListContinue3">
    <w:name w:val="List Continue 3"/>
    <w:basedOn w:val="List3"/>
    <w:rsid w:val="00E92994"/>
    <w:pPr>
      <w:ind w:left="1021" w:firstLine="0"/>
    </w:pPr>
  </w:style>
  <w:style w:type="paragraph" w:styleId="ListContinue4">
    <w:name w:val="List Continue 4"/>
    <w:basedOn w:val="List4"/>
    <w:rsid w:val="00E92994"/>
    <w:pPr>
      <w:ind w:firstLine="0"/>
    </w:pPr>
  </w:style>
  <w:style w:type="paragraph" w:styleId="ListContinue5">
    <w:name w:val="List Continue 5"/>
    <w:basedOn w:val="List5"/>
    <w:rsid w:val="00E92994"/>
    <w:pPr>
      <w:ind w:firstLine="0"/>
    </w:pPr>
  </w:style>
  <w:style w:type="paragraph" w:styleId="ListNumber3">
    <w:name w:val="List Number 3"/>
    <w:basedOn w:val="List3"/>
    <w:rsid w:val="00E92994"/>
    <w:pPr>
      <w:numPr>
        <w:numId w:val="3"/>
      </w:numPr>
    </w:pPr>
  </w:style>
  <w:style w:type="paragraph" w:styleId="ListNumber4">
    <w:name w:val="List Number 4"/>
    <w:basedOn w:val="List4"/>
    <w:rsid w:val="00E92994"/>
    <w:pPr>
      <w:numPr>
        <w:numId w:val="4"/>
      </w:numPr>
    </w:pPr>
  </w:style>
  <w:style w:type="paragraph" w:styleId="ListNumber5">
    <w:name w:val="List Number 5"/>
    <w:basedOn w:val="List5"/>
    <w:rsid w:val="00E92994"/>
    <w:pPr>
      <w:numPr>
        <w:numId w:val="5"/>
      </w:numPr>
    </w:pPr>
  </w:style>
  <w:style w:type="paragraph" w:styleId="BlockText">
    <w:name w:val="Block Text"/>
    <w:basedOn w:val="Normal"/>
    <w:rsid w:val="00E92994"/>
    <w:pPr>
      <w:spacing w:after="120"/>
      <w:ind w:left="1440" w:right="1440"/>
    </w:pPr>
  </w:style>
  <w:style w:type="character" w:customStyle="1" w:styleId="Subscript">
    <w:name w:val="Subscript"/>
    <w:basedOn w:val="DefaultParagraphFont"/>
    <w:rsid w:val="00E92994"/>
    <w:rPr>
      <w:sz w:val="16"/>
      <w:vertAlign w:val="subscript"/>
    </w:rPr>
  </w:style>
  <w:style w:type="character" w:customStyle="1" w:styleId="Superscript">
    <w:name w:val="Superscript"/>
    <w:basedOn w:val="DefaultParagraphFont"/>
    <w:rsid w:val="00E92994"/>
    <w:rPr>
      <w:sz w:val="16"/>
      <w:vertAlign w:val="superscript"/>
    </w:rPr>
  </w:style>
  <w:style w:type="character" w:customStyle="1" w:styleId="Symbols">
    <w:name w:val="Symbols"/>
    <w:basedOn w:val="DefaultParagraphFont"/>
    <w:rsid w:val="00E92994"/>
    <w:rPr>
      <w:rFonts w:ascii="Symbol" w:hAnsi="Symbol"/>
    </w:rPr>
  </w:style>
  <w:style w:type="character" w:customStyle="1" w:styleId="MenuOptions">
    <w:name w:val="Menu Options"/>
    <w:basedOn w:val="DefaultParagraphFont"/>
    <w:rsid w:val="00E92994"/>
    <w:rPr>
      <w:rFonts w:ascii="Arial Narrow" w:hAnsi="Arial Narrow"/>
      <w:smallCaps/>
    </w:rPr>
  </w:style>
  <w:style w:type="character" w:customStyle="1" w:styleId="Buttons">
    <w:name w:val="Buttons"/>
    <w:basedOn w:val="DefaultParagraphFont"/>
    <w:rsid w:val="00E92994"/>
    <w:rPr>
      <w:b/>
    </w:rPr>
  </w:style>
  <w:style w:type="character" w:customStyle="1" w:styleId="Underlined">
    <w:name w:val="Underlined"/>
    <w:basedOn w:val="DefaultParagraphFont"/>
    <w:rsid w:val="00E92994"/>
    <w:rPr>
      <w:u w:val="single"/>
    </w:rPr>
  </w:style>
  <w:style w:type="paragraph" w:customStyle="1" w:styleId="TableBodyTextRight">
    <w:name w:val="Table Body Text Right"/>
    <w:basedOn w:val="TableBodyText"/>
    <w:rsid w:val="00E92994"/>
    <w:pPr>
      <w:widowControl w:val="0"/>
      <w:autoSpaceDE w:val="0"/>
      <w:autoSpaceDN w:val="0"/>
      <w:adjustRightInd w:val="0"/>
      <w:jc w:val="right"/>
    </w:pPr>
    <w:rPr>
      <w:rFonts w:cs="Arial"/>
      <w:szCs w:val="18"/>
    </w:rPr>
  </w:style>
  <w:style w:type="paragraph" w:customStyle="1" w:styleId="CopyrightText">
    <w:name w:val="Copyright Text"/>
    <w:basedOn w:val="BodyText"/>
    <w:rsid w:val="00E92994"/>
    <w:rPr>
      <w:sz w:val="18"/>
    </w:rPr>
  </w:style>
  <w:style w:type="paragraph" w:customStyle="1" w:styleId="BodySmallRight">
    <w:name w:val="Body Small Right"/>
    <w:basedOn w:val="BodyTextRight"/>
    <w:rsid w:val="00E92994"/>
    <w:rPr>
      <w:sz w:val="18"/>
      <w:szCs w:val="18"/>
    </w:rPr>
  </w:style>
  <w:style w:type="paragraph" w:customStyle="1" w:styleId="MarginEdition">
    <w:name w:val="Margin Edition"/>
    <w:basedOn w:val="MarginNote"/>
    <w:rsid w:val="00E92994"/>
    <w:pPr>
      <w:spacing w:before="0" w:after="0"/>
    </w:pPr>
    <w:rPr>
      <w:rFonts w:ascii="Times New Roman" w:hAnsi="Times New Roman"/>
      <w:color w:val="999999"/>
    </w:rPr>
  </w:style>
  <w:style w:type="paragraph" w:customStyle="1" w:styleId="Spacer">
    <w:name w:val="Spacer"/>
    <w:basedOn w:val="Normal"/>
    <w:rsid w:val="00E92994"/>
    <w:rPr>
      <w:sz w:val="2"/>
      <w:szCs w:val="2"/>
    </w:rPr>
  </w:style>
  <w:style w:type="character" w:customStyle="1" w:styleId="Small">
    <w:name w:val="Small"/>
    <w:basedOn w:val="DefaultParagraphFont"/>
    <w:rsid w:val="00E92994"/>
    <w:rPr>
      <w:sz w:val="16"/>
    </w:rPr>
  </w:style>
  <w:style w:type="paragraph" w:customStyle="1" w:styleId="WideTable">
    <w:name w:val="Wide Table"/>
    <w:basedOn w:val="Normal"/>
    <w:rsid w:val="00E92994"/>
    <w:pPr>
      <w:ind w:left="-1418"/>
    </w:pPr>
    <w:rPr>
      <w:sz w:val="2"/>
      <w:szCs w:val="2"/>
    </w:rPr>
  </w:style>
  <w:style w:type="character" w:styleId="PageNumber">
    <w:name w:val="page number"/>
    <w:basedOn w:val="DefaultParagraphFont"/>
    <w:rsid w:val="00E92994"/>
  </w:style>
  <w:style w:type="paragraph" w:styleId="Quote">
    <w:name w:val="Quote"/>
    <w:basedOn w:val="Heading1"/>
    <w:link w:val="QuoteChar"/>
    <w:qFormat/>
    <w:rsid w:val="00E92994"/>
    <w:rPr>
      <w:b w:val="0"/>
      <w:sz w:val="72"/>
      <w:szCs w:val="72"/>
      <w:lang w:val="en-NZ"/>
    </w:rPr>
  </w:style>
  <w:style w:type="character" w:customStyle="1" w:styleId="QuoteChar">
    <w:name w:val="Quote Char"/>
    <w:basedOn w:val="DefaultParagraphFont"/>
    <w:link w:val="Quote"/>
    <w:rsid w:val="00E929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2994"/>
    <w:pPr>
      <w:pageBreakBefore/>
    </w:pPr>
  </w:style>
  <w:style w:type="paragraph" w:customStyle="1" w:styleId="Border">
    <w:name w:val="Border"/>
    <w:basedOn w:val="Normal"/>
    <w:qFormat/>
    <w:rsid w:val="00E929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2994"/>
    <w:rPr>
      <w:b/>
      <w:bCs/>
      <w:i/>
      <w:iCs/>
      <w:color w:val="auto"/>
    </w:rPr>
  </w:style>
  <w:style w:type="paragraph" w:styleId="IntenseQuote">
    <w:name w:val="Intense Quote"/>
    <w:basedOn w:val="Normal"/>
    <w:next w:val="Normal"/>
    <w:link w:val="IntenseQuoteChar"/>
    <w:uiPriority w:val="30"/>
    <w:qFormat/>
    <w:rsid w:val="00E929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29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2994"/>
    <w:rPr>
      <w:smallCaps/>
      <w:color w:val="auto"/>
      <w:u w:val="single"/>
    </w:rPr>
  </w:style>
  <w:style w:type="character" w:styleId="IntenseReference">
    <w:name w:val="Intense Reference"/>
    <w:basedOn w:val="DefaultParagraphFont"/>
    <w:uiPriority w:val="32"/>
    <w:qFormat/>
    <w:rsid w:val="00E92994"/>
    <w:rPr>
      <w:b/>
      <w:bCs/>
      <w:smallCaps/>
      <w:color w:val="auto"/>
      <w:spacing w:val="5"/>
      <w:u w:val="single"/>
    </w:rPr>
  </w:style>
  <w:style w:type="paragraph" w:customStyle="1" w:styleId="2ColumnHeading">
    <w:name w:val="2Column Heading"/>
    <w:basedOn w:val="BodyText"/>
    <w:qFormat/>
    <w:rsid w:val="00E92994"/>
    <w:pPr>
      <w:spacing w:after="60"/>
      <w:ind w:left="-2268"/>
    </w:pPr>
    <w:rPr>
      <w:b/>
    </w:rPr>
  </w:style>
  <w:style w:type="paragraph" w:customStyle="1" w:styleId="Heading1TOC">
    <w:name w:val="Heading1 TOC"/>
    <w:basedOn w:val="Normal"/>
    <w:qFormat/>
    <w:rsid w:val="00E92994"/>
    <w:pPr>
      <w:spacing w:before="240" w:after="120"/>
    </w:pPr>
    <w:rPr>
      <w:rFonts w:ascii="Times New Roman" w:hAnsi="Times New Roman"/>
      <w:b/>
      <w:sz w:val="32"/>
    </w:rPr>
  </w:style>
  <w:style w:type="paragraph" w:customStyle="1" w:styleId="Heading2TOC">
    <w:name w:val="Heading2 TOC"/>
    <w:basedOn w:val="Normal"/>
    <w:qFormat/>
    <w:rsid w:val="00E92994"/>
    <w:pPr>
      <w:spacing w:before="240" w:after="60"/>
    </w:pPr>
    <w:rPr>
      <w:rFonts w:ascii="Times New Roman" w:hAnsi="Times New Roman"/>
      <w:b/>
      <w:sz w:val="28"/>
    </w:rPr>
  </w:style>
  <w:style w:type="character" w:customStyle="1" w:styleId="Underline">
    <w:name w:val="Underline"/>
    <w:basedOn w:val="DefaultParagraphFont"/>
    <w:qFormat/>
    <w:rsid w:val="00E92994"/>
    <w:rPr>
      <w:u w:val="single"/>
    </w:rPr>
  </w:style>
  <w:style w:type="character" w:customStyle="1" w:styleId="BoldandItalics">
    <w:name w:val="Bold and Italics"/>
    <w:qFormat/>
    <w:rsid w:val="00E92994"/>
    <w:rPr>
      <w:b/>
      <w:i/>
      <w:u w:val="none"/>
    </w:rPr>
  </w:style>
  <w:style w:type="paragraph" w:styleId="BalloonText">
    <w:name w:val="Balloon Text"/>
    <w:basedOn w:val="Normal"/>
    <w:link w:val="BalloonTextChar"/>
    <w:rsid w:val="00E92994"/>
    <w:rPr>
      <w:rFonts w:ascii="Tahoma" w:hAnsi="Tahoma" w:cs="Tahoma"/>
      <w:sz w:val="16"/>
      <w:szCs w:val="16"/>
    </w:rPr>
  </w:style>
  <w:style w:type="character" w:customStyle="1" w:styleId="BalloonTextChar">
    <w:name w:val="Balloon Text Char"/>
    <w:basedOn w:val="DefaultParagraphFont"/>
    <w:link w:val="BalloonText"/>
    <w:rsid w:val="00E929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29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29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2994"/>
    <w:rPr>
      <w:b/>
      <w:color w:val="660033"/>
      <w:spacing w:val="0"/>
    </w:rPr>
  </w:style>
  <w:style w:type="paragraph" w:customStyle="1" w:styleId="Nameditemlist">
    <w:name w:val="Named item list"/>
    <w:basedOn w:val="BodyText"/>
    <w:qFormat/>
    <w:rsid w:val="00E92994"/>
    <w:pPr>
      <w:tabs>
        <w:tab w:val="left" w:pos="2835"/>
      </w:tabs>
      <w:ind w:left="2835" w:hanging="2835"/>
    </w:pPr>
  </w:style>
  <w:style w:type="paragraph" w:customStyle="1" w:styleId="BodyTextnopadding">
    <w:name w:val="Body Text no padding"/>
    <w:basedOn w:val="BodyText"/>
    <w:qFormat/>
    <w:rsid w:val="00E92994"/>
    <w:pPr>
      <w:spacing w:before="0" w:after="0"/>
    </w:pPr>
  </w:style>
  <w:style w:type="paragraph" w:customStyle="1" w:styleId="BodyTextBold">
    <w:name w:val="Body Text Bold"/>
    <w:basedOn w:val="BodyText"/>
    <w:qFormat/>
    <w:rsid w:val="00E92994"/>
    <w:rPr>
      <w:b/>
    </w:rPr>
  </w:style>
  <w:style w:type="character" w:styleId="Hyperlink">
    <w:name w:val="Hyperlink"/>
    <w:basedOn w:val="DefaultParagraphFont"/>
    <w:uiPriority w:val="99"/>
    <w:unhideWhenUsed/>
    <w:rsid w:val="00895A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1213</Words>
  <Characters>8438</Characters>
  <Application>Microsoft Office Word</Application>
  <DocSecurity>0</DocSecurity>
  <Lines>301</Lines>
  <Paragraphs>135</Paragraphs>
  <ScaleCrop>false</ScaleCrop>
  <Company>Author-it Software Corporation Ltd.</Company>
  <LinksUpToDate>false</LinksUpToDate>
  <CharactersWithSpaces>9516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UETDRTS027 Verification and certification of revenue metering/energy measurement instruments</dc:title>
  <dc:subject>Approved</dc:subject>
  <dc:creator>Australian Industry Standards</dc:creator>
  <cp:keywords>Release: 1</cp:keywords>
  <dc:description>Review Date: 12 April 2008</dc:description>
  <cp:lastModifiedBy>HSD_TPCMSd.prod</cp:lastModifiedBy>
  <cp:revision>3</cp:revision>
  <dcterms:created xsi:type="dcterms:W3CDTF">2022-06-03T04:36:00Z</dcterms:created>
  <dcterms:modified xsi:type="dcterms:W3CDTF">2022-06-03T04:36:00Z</dcterms:modified>
</cp:coreProperties>
</file>