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B89" w:rsidP="00821B89">
      <w:pPr>
        <w:pStyle w:val="Title"/>
      </w:pPr>
      <w:r>
        <w:fldChar w:fldCharType="begin"/>
      </w:r>
      <w:r>
        <w:instrText xml:space="preserve"> TITLE   \* MERGEFORMAT </w:instrText>
      </w:r>
      <w:r>
        <w:fldChar w:fldCharType="separate"/>
      </w:r>
      <w:r>
        <w:t>Assessment Requirements for UETDRTS023 Repair, test and calibrate protection relays and meters</w:t>
      </w:r>
      <w:r>
        <w:fldChar w:fldCharType="end"/>
      </w:r>
    </w:p>
    <w:p w:rsidR="00821B89" w:rsidP="00821B89">
      <w:pPr>
        <w:pStyle w:val="Version"/>
        <w:sectPr w:rsidSect="002F38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8B3" w:rsidP="002F38B3">
      <w:pPr>
        <w:pStyle w:val="SuperHeading"/>
      </w:pPr>
      <w:r w:rsidRPr="002F38B3">
        <w:t>Assessment Requirements for UETDRTS023 Repair, test and calibrate protection relays and meters</w:t>
      </w:r>
    </w:p>
    <w:p w:rsidR="00000000" w:rsidRPr="002F38B3" w:rsidP="002F38B3">
      <w:pPr>
        <w:pStyle w:val="Heading1"/>
      </w:pPr>
      <w:bookmarkStart w:id="1" w:name="O_1178026"/>
      <w:bookmarkEnd w:id="1"/>
      <w:r w:rsidRPr="002F38B3">
        <w:t>Modification History</w:t>
      </w:r>
    </w:p>
    <w:tbl>
      <w:tblPr>
        <w:tblW w:w="9497" w:type="dxa"/>
        <w:tblLayout w:type="fixed"/>
        <w:tblCellMar>
          <w:left w:w="62" w:type="dxa"/>
          <w:right w:w="62" w:type="dxa"/>
        </w:tblCellMar>
        <w:tblLook w:val="0000"/>
      </w:tblPr>
      <w:tblGrid>
        <w:gridCol w:w="9497"/>
      </w:tblGrid>
      <w:tr w:rsidTr="002F3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8B3" w:rsidP="002F38B3">
            <w:pPr>
              <w:pStyle w:val="BodyText"/>
            </w:pPr>
            <w:r w:rsidRPr="002F38B3">
              <w:t>Release 1. This is the first release of this unit of competency in the UET Transmission, Distribution and Rail Sector Training Package Release 2.0.</w:t>
            </w:r>
          </w:p>
        </w:tc>
      </w:tr>
    </w:tbl>
    <w:p w:rsidR="00000000" w:rsidRPr="002F38B3" w:rsidP="002F38B3">
      <w:pPr>
        <w:pStyle w:val="NoPaddingFontSize1"/>
      </w:pPr>
    </w:p>
    <w:p w:rsidR="00000000" w:rsidRPr="002F38B3" w:rsidP="002F38B3">
      <w:pPr>
        <w:pStyle w:val="AllowPageBreak"/>
      </w:pPr>
    </w:p>
    <w:p w:rsidR="00000000" w:rsidRPr="002F38B3" w:rsidP="002F38B3">
      <w:pPr>
        <w:pStyle w:val="Heading1"/>
      </w:pPr>
      <w:bookmarkStart w:id="2" w:name="O_1178027"/>
      <w:bookmarkEnd w:id="2"/>
      <w:r w:rsidRPr="002F38B3">
        <w:t>Performance Evidence</w:t>
      </w:r>
    </w:p>
    <w:tbl>
      <w:tblPr>
        <w:tblW w:w="9497" w:type="dxa"/>
        <w:tblLayout w:type="fixed"/>
        <w:tblCellMar>
          <w:left w:w="62" w:type="dxa"/>
          <w:right w:w="62" w:type="dxa"/>
        </w:tblCellMar>
        <w:tblLook w:val="0000"/>
      </w:tblPr>
      <w:tblGrid>
        <w:gridCol w:w="9497"/>
      </w:tblGrid>
      <w:tr w:rsidTr="002F3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38B3">
            <w:pPr>
              <w:pStyle w:val="BodyText"/>
              <w:rPr>
                <w:lang w:val="en-NZ"/>
              </w:rPr>
            </w:pPr>
            <w:r w:rsidRPr="002F38B3">
              <w:t>Evidence required to demonstrate competence in this unit must be r</w:t>
            </w:r>
            <w:r w:rsidRPr="002F38B3">
              <w:t xml:space="preserve">elevant to and satisfy all of the requirements of the elements and performance criteria on at least two separate occasions and include:  </w:t>
            </w:r>
          </w:p>
        </w:tc>
      </w:tr>
      <w:tr w:rsidTr="002F3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8B3" w:rsidP="002F38B3">
            <w:pPr>
              <w:pStyle w:val="ListBullet"/>
            </w:pPr>
            <w:r w:rsidRPr="002F38B3">
              <w:t xml:space="preserve">applying relevant work health and safety (WHS)/occupational health and safety (OHS) requirements, including the use </w:t>
            </w:r>
            <w:r w:rsidRPr="002F38B3">
              <w:t>of risk control measures</w:t>
            </w:r>
          </w:p>
          <w:p w:rsidR="00000000" w:rsidRPr="002F38B3" w:rsidP="002F38B3">
            <w:pPr>
              <w:pStyle w:val="ListBullet"/>
            </w:pPr>
            <w:r w:rsidRPr="002F38B3">
              <w:t>applying sustainable energy principles and practices</w:t>
            </w:r>
          </w:p>
          <w:p w:rsidR="00000000" w:rsidRPr="002F38B3" w:rsidP="002F38B3">
            <w:pPr>
              <w:pStyle w:val="ListBullet"/>
            </w:pPr>
            <w:r w:rsidRPr="002F38B3">
              <w:t>using all of the following simple protection schemes:</w:t>
            </w:r>
          </w:p>
          <w:p w:rsidR="00000000" w:rsidRPr="002F38B3" w:rsidP="002F38B3">
            <w:pPr>
              <w:pStyle w:val="ListBullet2"/>
            </w:pPr>
            <w:r w:rsidRPr="002F38B3">
              <w:t>auxiliary</w:t>
            </w:r>
          </w:p>
          <w:p w:rsidR="00000000" w:rsidRPr="002F38B3" w:rsidP="002F38B3">
            <w:pPr>
              <w:pStyle w:val="ListBullet2"/>
            </w:pPr>
            <w:r w:rsidRPr="002F38B3">
              <w:t>overcurrent</w:t>
            </w:r>
          </w:p>
          <w:p w:rsidR="00000000" w:rsidRPr="002F38B3" w:rsidP="002F38B3">
            <w:pPr>
              <w:pStyle w:val="ListBullet2"/>
            </w:pPr>
            <w:r w:rsidRPr="002F38B3">
              <w:t>timers</w:t>
            </w:r>
          </w:p>
          <w:p w:rsidR="00000000" w:rsidRPr="002F38B3" w:rsidP="002F38B3">
            <w:pPr>
              <w:pStyle w:val="ListBullet2"/>
            </w:pPr>
            <w:r w:rsidRPr="002F38B3">
              <w:t>voltage</w:t>
            </w:r>
          </w:p>
          <w:p w:rsidR="00000000" w:rsidRPr="002F38B3" w:rsidP="002F38B3">
            <w:pPr>
              <w:pStyle w:val="ListBullet"/>
            </w:pPr>
            <w:r w:rsidRPr="002F38B3">
              <w:t>using at least three (3) of the following intermediate protection devices:</w:t>
            </w:r>
          </w:p>
          <w:p w:rsidR="00000000" w:rsidRPr="002F38B3" w:rsidP="002F38B3">
            <w:pPr>
              <w:pStyle w:val="ListBullet2"/>
            </w:pPr>
            <w:r w:rsidRPr="002F38B3">
              <w:t>inverse time delay overcurrent</w:t>
            </w:r>
          </w:p>
          <w:p w:rsidR="00000000" w:rsidRPr="002F38B3" w:rsidP="002F38B3">
            <w:pPr>
              <w:pStyle w:val="ListBullet2"/>
            </w:pPr>
            <w:r w:rsidRPr="002F38B3">
              <w:t>voltage regulating relays</w:t>
            </w:r>
          </w:p>
          <w:p w:rsidR="00000000" w:rsidRPr="002F38B3" w:rsidP="002F38B3">
            <w:pPr>
              <w:pStyle w:val="ListBullet2"/>
            </w:pPr>
            <w:r w:rsidRPr="002F38B3">
              <w:t>differential</w:t>
            </w:r>
          </w:p>
          <w:p w:rsidR="00000000" w:rsidRPr="002F38B3" w:rsidP="002F38B3">
            <w:pPr>
              <w:pStyle w:val="ListBullet2"/>
            </w:pPr>
            <w:r w:rsidRPr="002F38B3">
              <w:t>pilot wire</w:t>
            </w:r>
          </w:p>
          <w:p w:rsidR="00000000" w:rsidRPr="002F38B3" w:rsidP="002F38B3">
            <w:pPr>
              <w:pStyle w:val="ListBullet"/>
            </w:pPr>
            <w:r w:rsidRPr="002F38B3">
              <w:t>using at least two (2) of the following advanced protection schemes:</w:t>
            </w:r>
          </w:p>
          <w:p w:rsidR="00000000" w:rsidRPr="002F38B3" w:rsidP="002F38B3">
            <w:pPr>
              <w:pStyle w:val="ListBullet2"/>
            </w:pPr>
            <w:r w:rsidRPr="002F38B3">
              <w:t>multi-zone impedance</w:t>
            </w:r>
          </w:p>
          <w:p w:rsidR="00000000" w:rsidRPr="002F38B3" w:rsidP="002F38B3">
            <w:pPr>
              <w:pStyle w:val="ListBullet2"/>
            </w:pPr>
            <w:r w:rsidRPr="002F38B3">
              <w:t>multi-function feeder protection</w:t>
            </w:r>
          </w:p>
          <w:p w:rsidR="00000000" w:rsidRPr="002F38B3" w:rsidP="002F38B3">
            <w:pPr>
              <w:pStyle w:val="ListBullet2"/>
            </w:pPr>
            <w:r w:rsidRPr="002F38B3">
              <w:t>phase comparison</w:t>
            </w:r>
          </w:p>
          <w:p w:rsidR="00000000" w:rsidRPr="002F38B3" w:rsidP="002F38B3">
            <w:pPr>
              <w:pStyle w:val="ListBullet2"/>
            </w:pPr>
            <w:r w:rsidRPr="002F38B3">
              <w:t>digital current differential</w:t>
            </w:r>
          </w:p>
          <w:p w:rsidR="00000000" w:rsidRPr="002F38B3" w:rsidP="002F38B3">
            <w:pPr>
              <w:pStyle w:val="ListBullet"/>
            </w:pPr>
            <w:r w:rsidRPr="002F38B3">
              <w:t>dea</w:t>
            </w:r>
            <w:r w:rsidRPr="002F38B3">
              <w:t>ling with unplanned events on at least one (1) occasion.</w:t>
            </w:r>
          </w:p>
        </w:tc>
      </w:tr>
    </w:tbl>
    <w:p w:rsidR="00000000" w:rsidRPr="002F38B3" w:rsidP="002F38B3">
      <w:pPr>
        <w:pStyle w:val="NoPaddingFontSize1"/>
      </w:pPr>
    </w:p>
    <w:p w:rsidR="00000000" w:rsidRPr="002F38B3" w:rsidP="002F38B3">
      <w:pPr>
        <w:pStyle w:val="AllowPageBreak"/>
      </w:pPr>
    </w:p>
    <w:p w:rsidR="00000000" w:rsidRPr="002F38B3" w:rsidP="002F38B3">
      <w:pPr>
        <w:pStyle w:val="Heading1"/>
      </w:pPr>
      <w:bookmarkStart w:id="3" w:name="O_1178028"/>
      <w:bookmarkEnd w:id="3"/>
      <w:r w:rsidRPr="002F38B3">
        <w:t>Knowledge Evidence</w:t>
      </w:r>
    </w:p>
    <w:tbl>
      <w:tblPr>
        <w:tblW w:w="9497" w:type="dxa"/>
        <w:tblLayout w:type="fixed"/>
        <w:tblCellMar>
          <w:left w:w="62" w:type="dxa"/>
          <w:right w:w="62" w:type="dxa"/>
        </w:tblCellMar>
        <w:tblLook w:val="0000"/>
      </w:tblPr>
      <w:tblGrid>
        <w:gridCol w:w="9497"/>
      </w:tblGrid>
      <w:tr w:rsidTr="002F3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38B3">
            <w:pPr>
              <w:pStyle w:val="BodyText"/>
              <w:rPr>
                <w:lang w:val="en-NZ"/>
              </w:rPr>
            </w:pPr>
            <w:r w:rsidRPr="002F38B3">
              <w:t xml:space="preserve">Evidence required to demonstrate competence in this unit must be relevant to and satisfy all of the requirements of the elements and performance </w:t>
            </w:r>
            <w:r w:rsidRPr="002F38B3">
              <w:t>criteria and include knowledge of:</w:t>
            </w:r>
          </w:p>
        </w:tc>
      </w:tr>
      <w:tr w:rsidTr="002F3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8B3" w:rsidP="002F38B3">
            <w:pPr>
              <w:pStyle w:val="ListBullet"/>
            </w:pPr>
            <w:r w:rsidRPr="002F38B3">
              <w:t>procedures for the location and rectification of faults in electrical equipment up to 1000 volts alternating current (a.c.) and/or 1500 volts direct current (d.c.) encompassing:</w:t>
            </w:r>
          </w:p>
          <w:p w:rsidR="00000000" w:rsidRPr="002F38B3" w:rsidP="002F38B3">
            <w:pPr>
              <w:pStyle w:val="ListBullet2"/>
            </w:pPr>
            <w:r w:rsidRPr="002F38B3">
              <w:t xml:space="preserve">relationship of WHS/OHS to the location </w:t>
            </w:r>
            <w:r w:rsidRPr="002F38B3">
              <w:t xml:space="preserve">and rectification of faults in electrical </w:t>
            </w:r>
            <w:r w:rsidRPr="002F38B3">
              <w:t>equipment - acts and regulations, identification of personal safety, workplace hazards, working with electrically operated tools and equipment, emergency first aid/resuscitation, rescue from a live electrical situa</w:t>
            </w:r>
            <w:r w:rsidRPr="002F38B3">
              <w:t>tion, and enterprise policies and procedures</w:t>
            </w:r>
          </w:p>
          <w:p w:rsidR="00000000" w:rsidRPr="002F38B3" w:rsidP="002F38B3">
            <w:pPr>
              <w:pStyle w:val="ListBullet2"/>
            </w:pPr>
            <w:r w:rsidRPr="002F38B3">
              <w:t>types of drawings - differentiation between symptoms, faults and causes in malfunctioning equipment, fault-finding techniques and procedures</w:t>
            </w:r>
          </w:p>
          <w:p w:rsidR="00000000" w:rsidRPr="002F38B3" w:rsidP="002F38B3">
            <w:pPr>
              <w:pStyle w:val="ListBullet2"/>
            </w:pPr>
            <w:r w:rsidRPr="002F38B3">
              <w:t>fundamental electrical concepts - effects of current, practical resistors, sources of electromagnetic field, series, parallel and series-parallel circuits, electrical measurement, capacitors, inductors and magnetism</w:t>
            </w:r>
          </w:p>
          <w:p w:rsidR="00000000" w:rsidRPr="002F38B3" w:rsidP="002F38B3">
            <w:pPr>
              <w:pStyle w:val="ListBullet2"/>
            </w:pPr>
            <w:r w:rsidRPr="002F38B3">
              <w:t>fundamentals of general appliances - bas</w:t>
            </w:r>
            <w:r w:rsidRPr="002F38B3">
              <w:t>ic principles of appliances (non-mathematical), appliance identification, appliance ratings, basic principles of operation of control equipment and protection devices, fault conditions and symptoms, safe isolation procedures, test equipment, safe testing p</w:t>
            </w:r>
            <w:r w:rsidRPr="002F38B3">
              <w:t>rocedures, including continuity, fault types in appliances and fault-finding procedures (prescriptive)</w:t>
            </w:r>
          </w:p>
          <w:p w:rsidR="00000000" w:rsidRPr="002F38B3" w:rsidP="002F38B3">
            <w:pPr>
              <w:pStyle w:val="ListBullet2"/>
            </w:pPr>
            <w:r w:rsidRPr="002F38B3">
              <w:t>fundamentals of single phase induction motors - basic principles of operation (non-mathematical), motor identification, motor ratings, basic principles o</w:t>
            </w:r>
            <w:r w:rsidRPr="002F38B3">
              <w:t>f operation of control equipment and protection devices, fault conditions and symptoms, safe isolation procedures, test equipment, safe testing procedures, including continuity, fault types in phase splitting and universal type motors and fault-finding pro</w:t>
            </w:r>
            <w:r w:rsidRPr="002F38B3">
              <w:t>cedures (prescriptive)</w:t>
            </w:r>
          </w:p>
          <w:p w:rsidR="00000000" w:rsidRPr="002F38B3" w:rsidP="002F38B3">
            <w:pPr>
              <w:pStyle w:val="ListBullet2"/>
            </w:pPr>
            <w:r w:rsidRPr="002F38B3">
              <w:t>fundamentals of three phase induction motors - basic principles of operation (non-mathematical), motor identification, motor ratings, motor starter principles, basic principles of operation of control equipment and protection devices</w:t>
            </w:r>
            <w:r w:rsidRPr="002F38B3">
              <w:t>, fault conditions and symptoms, safe isolation procedures, safe testing procedures and fault-finding procedures (prescriptive)</w:t>
            </w:r>
          </w:p>
          <w:p w:rsidR="00000000" w:rsidRPr="002F38B3" w:rsidP="002F38B3">
            <w:pPr>
              <w:pStyle w:val="ListBullet2"/>
            </w:pPr>
            <w:r w:rsidRPr="002F38B3">
              <w:t>fundamentals of single and three phase electrical heaters - basic principles of operation, types of electrical heaters, electric</w:t>
            </w:r>
            <w:r w:rsidRPr="002F38B3">
              <w:t>al heater identification, electrical heater ratings, basic principles of operation of control and protection devices, fault conditions and symptoms, safe testing procedures and fault-finding procedures (prescriptive)</w:t>
            </w:r>
          </w:p>
          <w:p w:rsidR="00000000" w:rsidRPr="002F38B3" w:rsidP="002F38B3">
            <w:pPr>
              <w:pStyle w:val="ListBullet"/>
            </w:pPr>
            <w:r w:rsidRPr="002F38B3">
              <w:t>detailed operation of metering devices</w:t>
            </w:r>
            <w:r w:rsidRPr="002F38B3">
              <w:t xml:space="preserve"> and principles encompassing:</w:t>
            </w:r>
          </w:p>
          <w:p w:rsidR="00000000" w:rsidRPr="002F38B3" w:rsidP="002F38B3">
            <w:pPr>
              <w:pStyle w:val="ListBullet2"/>
            </w:pPr>
            <w:r w:rsidRPr="002F38B3">
              <w:t>common circuit configurations</w:t>
            </w:r>
          </w:p>
          <w:p w:rsidR="00000000" w:rsidRPr="002F38B3" w:rsidP="002F38B3">
            <w:pPr>
              <w:pStyle w:val="ListBullet2"/>
            </w:pPr>
            <w:r w:rsidRPr="002F38B3">
              <w:t>meters and measurement principles</w:t>
            </w:r>
          </w:p>
          <w:p w:rsidR="00000000" w:rsidRPr="002F38B3" w:rsidP="002F38B3">
            <w:pPr>
              <w:pStyle w:val="ListBullet2"/>
            </w:pPr>
            <w:r w:rsidRPr="002F38B3">
              <w:t>instrument transformer application</w:t>
            </w:r>
          </w:p>
          <w:p w:rsidR="00000000" w:rsidRPr="002F38B3" w:rsidP="002F38B3">
            <w:pPr>
              <w:pStyle w:val="ListBullet2"/>
            </w:pPr>
            <w:r w:rsidRPr="002F38B3">
              <w:t>testing of metering systems and devices</w:t>
            </w:r>
          </w:p>
          <w:p w:rsidR="00000000" w:rsidRPr="002F38B3" w:rsidP="002F38B3">
            <w:pPr>
              <w:pStyle w:val="ListBullet2"/>
            </w:pPr>
            <w:r w:rsidRPr="002F38B3">
              <w:t>implications of market operation</w:t>
            </w:r>
          </w:p>
          <w:p w:rsidR="00000000" w:rsidRPr="002F38B3" w:rsidP="002F38B3">
            <w:pPr>
              <w:pStyle w:val="ListBullet"/>
            </w:pPr>
            <w:r w:rsidRPr="002F38B3">
              <w:t>detailed operation of fundamental test equipment enc</w:t>
            </w:r>
            <w:r w:rsidRPr="002F38B3">
              <w:t>ompassing:</w:t>
            </w:r>
          </w:p>
          <w:p w:rsidR="00000000" w:rsidRPr="002F38B3" w:rsidP="002F38B3">
            <w:pPr>
              <w:pStyle w:val="ListBullet2"/>
            </w:pPr>
            <w:r w:rsidRPr="002F38B3">
              <w:t>care and safe use</w:t>
            </w:r>
          </w:p>
          <w:p w:rsidR="00000000" w:rsidRPr="002F38B3" w:rsidP="002F38B3">
            <w:pPr>
              <w:pStyle w:val="ListBullet2"/>
            </w:pPr>
            <w:r w:rsidRPr="002F38B3">
              <w:t>operating principles</w:t>
            </w:r>
          </w:p>
          <w:p w:rsidR="00000000" w:rsidRPr="002F38B3" w:rsidP="002F38B3">
            <w:pPr>
              <w:pStyle w:val="ListBullet2"/>
            </w:pPr>
            <w:r w:rsidRPr="002F38B3">
              <w:t>comparison of different operating principle meters used for the same purpose</w:t>
            </w:r>
          </w:p>
          <w:p w:rsidR="00000000" w:rsidRPr="002F38B3" w:rsidP="002F38B3">
            <w:pPr>
              <w:pStyle w:val="ListBullet2"/>
            </w:pPr>
            <w:r w:rsidRPr="002F38B3">
              <w:t>accuracy and loading effects of meters - measurement of voltage, current, power, resistance, insulation resistance, impedance and phase sequence, and the use of oscilloscopes</w:t>
            </w:r>
          </w:p>
          <w:p w:rsidR="00000000" w:rsidRPr="002F38B3" w:rsidP="002F38B3">
            <w:pPr>
              <w:pStyle w:val="ListBullet"/>
            </w:pPr>
            <w:r w:rsidRPr="002F38B3">
              <w:t>detailed operation of protection test equipment encompassing:</w:t>
            </w:r>
          </w:p>
          <w:p w:rsidR="00000000" w:rsidRPr="002F38B3" w:rsidP="002F38B3">
            <w:pPr>
              <w:pStyle w:val="ListBullet2"/>
            </w:pPr>
            <w:r w:rsidRPr="002F38B3">
              <w:t>care and safe use</w:t>
            </w:r>
          </w:p>
          <w:p w:rsidR="00000000" w:rsidRPr="002F38B3" w:rsidP="002F38B3">
            <w:pPr>
              <w:pStyle w:val="ListBullet2"/>
            </w:pPr>
            <w:r w:rsidRPr="002F38B3">
              <w:t>operating principles</w:t>
            </w:r>
          </w:p>
          <w:p w:rsidR="00000000" w:rsidRPr="002F38B3" w:rsidP="002F38B3">
            <w:pPr>
              <w:pStyle w:val="ListBullet2"/>
            </w:pPr>
            <w:r w:rsidRPr="002F38B3">
              <w:t>comparison of different operating principle meters used for the same purpose</w:t>
            </w:r>
          </w:p>
          <w:p w:rsidR="00000000" w:rsidRPr="002F38B3" w:rsidP="002F38B3">
            <w:pPr>
              <w:pStyle w:val="ListBullet2"/>
            </w:pPr>
            <w:r w:rsidRPr="002F38B3">
              <w:t>accuracy and loading effects of meters - measurement of timing, voltage, current, resistance, inductance, capacitance, impedance, frequency, phase angle, pha</w:t>
            </w:r>
            <w:r w:rsidRPr="002F38B3">
              <w:t>se difference, and the use of primary, secondary and gas injection equipment</w:t>
            </w:r>
          </w:p>
          <w:p w:rsidR="00000000" w:rsidRPr="002F38B3" w:rsidP="002F38B3">
            <w:pPr>
              <w:pStyle w:val="ListBullet"/>
            </w:pPr>
            <w:r w:rsidRPr="002F38B3">
              <w:t>protection schemes encompassing:</w:t>
            </w:r>
          </w:p>
          <w:p w:rsidR="00000000" w:rsidRPr="002F38B3" w:rsidP="002F38B3">
            <w:pPr>
              <w:pStyle w:val="ListBullet2"/>
            </w:pPr>
            <w:r w:rsidRPr="002F38B3">
              <w:t>standards, codes, legislation, supply authority regulations and/or enterprise requirements applicable to protection schemes</w:t>
            </w:r>
          </w:p>
          <w:p w:rsidR="00000000" w:rsidRPr="002F38B3" w:rsidP="002F38B3">
            <w:pPr>
              <w:pStyle w:val="ListBullet2"/>
            </w:pPr>
            <w:r w:rsidRPr="002F38B3">
              <w:t xml:space="preserve">types of protection </w:t>
            </w:r>
            <w:r w:rsidRPr="002F38B3">
              <w:t>schemes - reasons for use, application of protection zones around system elements and degree of protection</w:t>
            </w:r>
          </w:p>
          <w:p w:rsidR="00000000" w:rsidRPr="002F38B3" w:rsidP="002F38B3">
            <w:pPr>
              <w:pStyle w:val="ListBullet2"/>
            </w:pPr>
            <w:r w:rsidRPr="002F38B3">
              <w:t>types of feeder protection equipment - overcurrent protection inverse time-current operating characteristics</w:t>
            </w:r>
          </w:p>
          <w:p w:rsidR="00000000" w:rsidRPr="002F38B3" w:rsidP="002F38B3">
            <w:pPr>
              <w:pStyle w:val="ListBullet2"/>
            </w:pPr>
            <w:r w:rsidRPr="002F38B3">
              <w:t>operation of overcurrent protection equi</w:t>
            </w:r>
            <w:r w:rsidRPr="002F38B3">
              <w:t>pment used on distribution systems</w:t>
            </w:r>
          </w:p>
          <w:p w:rsidR="00000000" w:rsidRPr="002F38B3" w:rsidP="002F38B3">
            <w:pPr>
              <w:pStyle w:val="ListBullet2"/>
            </w:pPr>
            <w:r w:rsidRPr="002F38B3">
              <w:t>operation of automatic circuit reclosers (ACR) and their time-current characteristics</w:t>
            </w:r>
          </w:p>
          <w:p w:rsidR="00000000" w:rsidRPr="002F38B3" w:rsidP="002F38B3">
            <w:pPr>
              <w:pStyle w:val="ListBullet2"/>
            </w:pPr>
            <w:r w:rsidRPr="002F38B3">
              <w:t>types and characteristics of overcurrent relays</w:t>
            </w:r>
          </w:p>
          <w:p w:rsidR="00000000" w:rsidRPr="002F38B3" w:rsidP="002F38B3">
            <w:pPr>
              <w:pStyle w:val="ListBullet2"/>
            </w:pPr>
            <w:r w:rsidRPr="002F38B3">
              <w:t>coordination methods of a distribution feeder protection scheme</w:t>
            </w:r>
          </w:p>
          <w:p w:rsidR="00000000" w:rsidRPr="002F38B3" w:rsidP="002F38B3">
            <w:pPr>
              <w:pStyle w:val="ListBullet2"/>
            </w:pPr>
            <w:r w:rsidRPr="002F38B3">
              <w:t>earth fault protection used on a distribution feeder</w:t>
            </w:r>
          </w:p>
          <w:p w:rsidR="00000000" w:rsidRPr="002F38B3" w:rsidP="002F38B3">
            <w:pPr>
              <w:pStyle w:val="ListBullet2"/>
            </w:pPr>
            <w:r w:rsidRPr="002F38B3">
              <w:t>operation of a single wire earth return (SWER) system.</w:t>
            </w:r>
          </w:p>
        </w:tc>
      </w:tr>
    </w:tbl>
    <w:p w:rsidR="00000000" w:rsidRPr="002F38B3" w:rsidP="002F38B3">
      <w:pPr>
        <w:pStyle w:val="NoPaddingFontSize1"/>
      </w:pPr>
    </w:p>
    <w:p w:rsidR="00000000" w:rsidRPr="002F38B3" w:rsidP="002F38B3">
      <w:pPr>
        <w:pStyle w:val="AllowPageBreak"/>
      </w:pPr>
    </w:p>
    <w:p w:rsidR="00000000" w:rsidRPr="002F38B3" w:rsidP="002F38B3">
      <w:pPr>
        <w:pStyle w:val="Heading1"/>
      </w:pPr>
      <w:bookmarkStart w:id="4" w:name="O_1178029"/>
      <w:bookmarkEnd w:id="4"/>
      <w:r w:rsidRPr="002F38B3">
        <w:t>Assessment Conditions</w:t>
      </w:r>
    </w:p>
    <w:tbl>
      <w:tblPr>
        <w:tblW w:w="9497" w:type="dxa"/>
        <w:tblLayout w:type="fixed"/>
        <w:tblCellMar>
          <w:left w:w="62" w:type="dxa"/>
          <w:right w:w="62" w:type="dxa"/>
        </w:tblCellMar>
        <w:tblLook w:val="0000"/>
      </w:tblPr>
      <w:tblGrid>
        <w:gridCol w:w="9497"/>
      </w:tblGrid>
      <w:tr w:rsidTr="002F3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38B3" w:rsidP="002F38B3">
            <w:pPr>
              <w:pStyle w:val="BodyText"/>
            </w:pPr>
            <w:r w:rsidRPr="002F38B3">
              <w:t>Assessors must hold credentials specified within the Standards for Registered Training Organisations curr</w:t>
            </w:r>
            <w:r w:rsidRPr="002F38B3">
              <w:t>ent at the time of assessment.</w:t>
            </w:r>
          </w:p>
          <w:p w:rsidR="00000000" w:rsidRPr="002F38B3" w:rsidP="002F38B3">
            <w:pPr>
              <w:pStyle w:val="BodyText"/>
            </w:pPr>
            <w:r w:rsidRPr="002F38B3">
              <w:t>Assessment must satisfy the Principles of Assessment and Rules of Evidence and all regulatory requirements included within the Standards for Registered Training Organisations current at the time of assessment.</w:t>
            </w:r>
          </w:p>
          <w:p w:rsidR="00000000" w:rsidRPr="002F38B3" w:rsidP="002F38B3">
            <w:pPr>
              <w:pStyle w:val="BodyText"/>
            </w:pPr>
            <w:r w:rsidRPr="002F38B3">
              <w:t>Assessment must</w:t>
            </w:r>
            <w:r w:rsidRPr="002F38B3">
              <w:t xml:space="preserve"> occur in workplace operational situations where it is appropriate to do so; where this is not appropriate, assessment must occur in simulated conditions involving realistic and authentic activities that replicate operational workplace conditions.</w:t>
            </w:r>
          </w:p>
          <w:p w:rsidR="00000000" w:rsidRPr="002F38B3" w:rsidP="002F38B3">
            <w:pPr>
              <w:pStyle w:val="BodyText"/>
            </w:pPr>
            <w:r w:rsidRPr="002F38B3">
              <w:t>Assessme</w:t>
            </w:r>
            <w:r w:rsidRPr="002F38B3">
              <w:t>nt processes and techniques must be appropriate to the language, literacy and numeracy requirements of the work being performed and the needs of the candidate.</w:t>
            </w:r>
          </w:p>
          <w:p w:rsidR="00000000" w:rsidRPr="002F38B3" w:rsidP="002F38B3">
            <w:pPr>
              <w:pStyle w:val="BodyText"/>
            </w:pPr>
            <w:r w:rsidRPr="002F38B3">
              <w:t>Resources for assessment must include access to:</w:t>
            </w:r>
          </w:p>
          <w:p w:rsidR="00000000" w:rsidRPr="002F38B3" w:rsidP="002F38B3">
            <w:pPr>
              <w:pStyle w:val="ListBullet"/>
            </w:pPr>
            <w:r w:rsidRPr="002F38B3">
              <w:t>a range of relevant exercises, case studies an</w:t>
            </w:r>
            <w:r w:rsidRPr="002F38B3">
              <w:t>d/or other simulations</w:t>
            </w:r>
          </w:p>
          <w:p w:rsidR="00000000" w:rsidRPr="002F38B3" w:rsidP="002F38B3">
            <w:pPr>
              <w:pStyle w:val="ListBullet"/>
            </w:pPr>
            <w:r w:rsidRPr="002F38B3">
              <w:t>relevant and appropriate materials, tools, facilities, equipment and personal protective equipment (PPE) currently used in industry</w:t>
            </w:r>
          </w:p>
          <w:p w:rsidR="00000000" w:rsidRPr="002F38B3" w:rsidP="002F38B3">
            <w:pPr>
              <w:pStyle w:val="ListBullet"/>
            </w:pPr>
            <w:r w:rsidRPr="002F38B3">
              <w:t>applicable documentation, including workplace procedures, relevant industry standards, equipment specifications, regulations, codes of practice and operation manuals.</w:t>
            </w:r>
          </w:p>
        </w:tc>
      </w:tr>
    </w:tbl>
    <w:p w:rsidR="00000000" w:rsidRPr="002F38B3" w:rsidP="002F38B3">
      <w:pPr>
        <w:pStyle w:val="NoPaddingFontSize1"/>
      </w:pPr>
    </w:p>
    <w:p w:rsidR="00000000" w:rsidRPr="002F38B3" w:rsidP="002F38B3">
      <w:pPr>
        <w:pStyle w:val="AllowPageBreak"/>
      </w:pPr>
    </w:p>
    <w:p w:rsidR="00000000" w:rsidRPr="002F38B3" w:rsidP="002F38B3">
      <w:pPr>
        <w:pStyle w:val="Heading1"/>
      </w:pPr>
      <w:bookmarkStart w:id="5" w:name="O_1178032"/>
      <w:bookmarkEnd w:id="5"/>
      <w:r w:rsidRPr="002F38B3">
        <w:t>Links</w:t>
      </w:r>
    </w:p>
    <w:p w:rsidR="00000000" w:rsidRPr="002F38B3" w:rsidP="00821B89">
      <w:pPr>
        <w:pStyle w:val="BodyText"/>
      </w:pPr>
      <w:r w:rsidRPr="002F38B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A560B">
        <w:rPr>
          <w:rStyle w:val="Hyperlink"/>
        </w:rPr>
        <w:t>https://vetnet.gov.au/Pages/TrainingDocs.aspx?q=229bace1-b7bc-4653-9300-dffb13ecfad7</w:t>
      </w:r>
      <w:r>
        <w:fldChar w:fldCharType="end"/>
      </w:r>
    </w:p>
    <w:p w:rsidR="00000000" w:rsidRPr="002F38B3" w:rsidP="002F38B3"/>
    <w:sectPr w:rsidSect="002F38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B3" w:rsidRPr="00821B89" w:rsidP="00821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89" w:rsidP="002F3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B89" w:rsidP="002F38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1B89" w:rsidP="002F3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8B3" w:rsidRPr="00821B89" w:rsidP="00821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89" w:rsidRPr="002D2AF8" w:rsidP="002F38B3">
    <w:pPr>
      <w:pStyle w:val="Header"/>
      <w:framePr w:wrap="around"/>
    </w:pPr>
    <w:r>
      <w:fldChar w:fldCharType="begin"/>
    </w:r>
    <w:r>
      <w:instrText xml:space="preserve"> TITLE   \* MERGEFORMAT </w:instrText>
    </w:r>
    <w:r>
      <w:fldChar w:fldCharType="separate"/>
    </w:r>
    <w:r>
      <w:t>Assessment Requirements for UETDRTS023 Repair, test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21B89" w:rsidP="002F3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08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C4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A40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8B3"/>
    <w:pPr>
      <w:spacing w:before="360" w:after="60"/>
      <w:outlineLvl w:val="0"/>
    </w:pPr>
    <w:rPr>
      <w:sz w:val="32"/>
    </w:rPr>
  </w:style>
  <w:style w:type="paragraph" w:styleId="Heading2">
    <w:name w:val="heading 2"/>
    <w:basedOn w:val="HeadingBase"/>
    <w:next w:val="BodyText"/>
    <w:link w:val="Heading2Char"/>
    <w:qFormat/>
    <w:rsid w:val="002F38B3"/>
    <w:pPr>
      <w:keepLines/>
      <w:spacing w:before="240" w:after="120"/>
      <w:outlineLvl w:val="1"/>
    </w:pPr>
    <w:rPr>
      <w:sz w:val="28"/>
      <w:szCs w:val="40"/>
    </w:rPr>
  </w:style>
  <w:style w:type="paragraph" w:styleId="Heading3">
    <w:name w:val="heading 3"/>
    <w:basedOn w:val="HeadingBase"/>
    <w:next w:val="BodyText"/>
    <w:link w:val="Heading3Char"/>
    <w:qFormat/>
    <w:rsid w:val="002F38B3"/>
    <w:pPr>
      <w:spacing w:before="180" w:after="120"/>
      <w:outlineLvl w:val="2"/>
    </w:pPr>
    <w:rPr>
      <w:spacing w:val="-10"/>
      <w:kern w:val="32"/>
    </w:rPr>
  </w:style>
  <w:style w:type="paragraph" w:styleId="Heading4">
    <w:name w:val="heading 4"/>
    <w:basedOn w:val="HeadingBase"/>
    <w:next w:val="BodyText"/>
    <w:link w:val="Heading4Char"/>
    <w:qFormat/>
    <w:rsid w:val="002F38B3"/>
    <w:pPr>
      <w:spacing w:before="160" w:after="120"/>
      <w:outlineLvl w:val="3"/>
    </w:pPr>
    <w:rPr>
      <w:sz w:val="22"/>
    </w:rPr>
  </w:style>
  <w:style w:type="paragraph" w:styleId="Heading5">
    <w:name w:val="heading 5"/>
    <w:basedOn w:val="HeadingBase"/>
    <w:next w:val="Normal"/>
    <w:link w:val="Heading5Char"/>
    <w:qFormat/>
    <w:rsid w:val="002F38B3"/>
    <w:pPr>
      <w:spacing w:before="80"/>
      <w:outlineLvl w:val="4"/>
    </w:pPr>
    <w:rPr>
      <w:color w:val="918585"/>
      <w:sz w:val="20"/>
    </w:rPr>
  </w:style>
  <w:style w:type="paragraph" w:styleId="Heading6">
    <w:name w:val="heading 6"/>
    <w:basedOn w:val="HeadingBase"/>
    <w:next w:val="Normal"/>
    <w:link w:val="Heading6Char"/>
    <w:qFormat/>
    <w:rsid w:val="002F38B3"/>
    <w:pPr>
      <w:spacing w:before="60"/>
      <w:outlineLvl w:val="5"/>
    </w:pPr>
    <w:rPr>
      <w:color w:val="918585"/>
      <w:sz w:val="20"/>
    </w:rPr>
  </w:style>
  <w:style w:type="paragraph" w:styleId="Heading7">
    <w:name w:val="heading 7"/>
    <w:basedOn w:val="Normal"/>
    <w:next w:val="Normal"/>
    <w:link w:val="Heading7Char"/>
    <w:qFormat/>
    <w:rsid w:val="002F38B3"/>
    <w:pPr>
      <w:ind w:left="720"/>
      <w:outlineLvl w:val="6"/>
    </w:pPr>
    <w:rPr>
      <w:i/>
    </w:rPr>
  </w:style>
  <w:style w:type="paragraph" w:styleId="Heading8">
    <w:name w:val="heading 8"/>
    <w:basedOn w:val="Normal"/>
    <w:next w:val="Normal"/>
    <w:link w:val="Heading8Char"/>
    <w:qFormat/>
    <w:rsid w:val="002F38B3"/>
    <w:pPr>
      <w:ind w:left="720"/>
      <w:outlineLvl w:val="7"/>
    </w:pPr>
    <w:rPr>
      <w:i/>
    </w:rPr>
  </w:style>
  <w:style w:type="paragraph" w:styleId="Heading9">
    <w:name w:val="heading 9"/>
    <w:basedOn w:val="Normal"/>
    <w:next w:val="Normal"/>
    <w:link w:val="Heading9Char"/>
    <w:qFormat/>
    <w:rsid w:val="002F38B3"/>
    <w:pPr>
      <w:ind w:left="720"/>
      <w:outlineLvl w:val="8"/>
    </w:pPr>
    <w:rPr>
      <w:i/>
    </w:rPr>
  </w:style>
  <w:style w:type="character" w:default="1" w:styleId="DefaultParagraphFont">
    <w:name w:val="Default Paragraph Font"/>
    <w:uiPriority w:val="1"/>
    <w:unhideWhenUsed/>
    <w:rsid w:val="002F3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8B3"/>
  </w:style>
  <w:style w:type="character" w:customStyle="1" w:styleId="Heading1Char">
    <w:name w:val="Heading 1 Char"/>
    <w:basedOn w:val="DefaultParagraphFont"/>
    <w:link w:val="Heading1"/>
    <w:rsid w:val="002F38B3"/>
    <w:rPr>
      <w:rFonts w:ascii="Times New Roman" w:eastAsia="Times New Roman" w:hAnsi="Times New Roman" w:cs="Times New Roman"/>
      <w:b/>
      <w:sz w:val="32"/>
      <w:szCs w:val="20"/>
      <w:lang w:eastAsia="en-US"/>
    </w:rPr>
  </w:style>
  <w:style w:type="paragraph" w:styleId="BodyText">
    <w:name w:val="Body Text"/>
    <w:basedOn w:val="Normal"/>
    <w:link w:val="BodyTextChar"/>
    <w:rsid w:val="002F3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8B3"/>
    <w:rPr>
      <w:rFonts w:ascii="Times New Roman" w:eastAsia="Times New Roman" w:hAnsi="Times New Roman" w:cs="Times New Roman"/>
      <w:sz w:val="24"/>
      <w:lang w:eastAsia="en-US"/>
    </w:rPr>
  </w:style>
  <w:style w:type="paragraph" w:styleId="ListBullet">
    <w:name w:val="List Bullet"/>
    <w:basedOn w:val="List"/>
    <w:rsid w:val="002F38B3"/>
    <w:pPr>
      <w:numPr>
        <w:numId w:val="12"/>
      </w:numPr>
      <w:tabs>
        <w:tab w:val="clear" w:pos="340"/>
      </w:tabs>
      <w:spacing w:before="40" w:after="40"/>
    </w:pPr>
  </w:style>
  <w:style w:type="paragraph" w:styleId="ListBullet2">
    <w:name w:val="List Bullet 2"/>
    <w:basedOn w:val="List2"/>
    <w:rsid w:val="002F38B3"/>
    <w:pPr>
      <w:numPr>
        <w:numId w:val="13"/>
      </w:numPr>
      <w:tabs>
        <w:tab w:val="clear" w:pos="680"/>
      </w:tabs>
    </w:pPr>
  </w:style>
  <w:style w:type="paragraph" w:customStyle="1" w:styleId="SuperHeading">
    <w:name w:val="SuperHeading"/>
    <w:basedOn w:val="Normal"/>
    <w:rsid w:val="002F38B3"/>
    <w:pPr>
      <w:spacing w:before="240" w:after="120"/>
      <w:outlineLvl w:val="0"/>
    </w:pPr>
    <w:rPr>
      <w:rFonts w:ascii="Times New Roman" w:hAnsi="Times New Roman"/>
      <w:b/>
      <w:sz w:val="32"/>
    </w:rPr>
  </w:style>
  <w:style w:type="paragraph" w:customStyle="1" w:styleId="AllowPageBreak">
    <w:name w:val="AllowPageBreak"/>
    <w:rsid w:val="002F38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3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8B3"/>
    <w:rPr>
      <w:rFonts w:ascii="Courier New" w:eastAsia="Times New Roman" w:hAnsi="Courier New" w:cs="Times New Roman"/>
      <w:i/>
      <w:szCs w:val="20"/>
      <w:lang w:eastAsia="en-US"/>
    </w:rPr>
  </w:style>
  <w:style w:type="paragraph" w:customStyle="1" w:styleId="HeadingBase">
    <w:name w:val="Heading Base"/>
    <w:rsid w:val="002F3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8B3"/>
    <w:pPr>
      <w:tabs>
        <w:tab w:val="right" w:leader="dot" w:pos="9072"/>
      </w:tabs>
      <w:ind w:left="567"/>
    </w:pPr>
    <w:rPr>
      <w:szCs w:val="22"/>
    </w:rPr>
  </w:style>
  <w:style w:type="paragraph" w:customStyle="1" w:styleId="TOCBase">
    <w:name w:val="TOC Base"/>
    <w:rsid w:val="002F3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8B3"/>
    <w:pPr>
      <w:tabs>
        <w:tab w:val="right" w:leader="dot" w:pos="9072"/>
      </w:tabs>
      <w:spacing w:before="40" w:after="40"/>
      <w:ind w:left="284"/>
    </w:pPr>
    <w:rPr>
      <w:rFonts w:ascii="Times New Roman" w:hAnsi="Times New Roman"/>
    </w:rPr>
  </w:style>
  <w:style w:type="paragraph" w:styleId="TOC1">
    <w:name w:val="toc 1"/>
    <w:basedOn w:val="TOCBase"/>
    <w:next w:val="Normal"/>
    <w:rsid w:val="002F3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8B3"/>
    <w:rPr>
      <w:rFonts w:ascii="Times New Roman" w:eastAsia="Times New Roman" w:hAnsi="Times New Roman" w:cs="Times New Roman"/>
      <w:sz w:val="16"/>
      <w:lang w:eastAsia="en-US"/>
    </w:rPr>
  </w:style>
  <w:style w:type="paragraph" w:styleId="Title">
    <w:name w:val="Title"/>
    <w:basedOn w:val="HeadingBase"/>
    <w:link w:val="TitleChar"/>
    <w:qFormat/>
    <w:rsid w:val="002F38B3"/>
    <w:pPr>
      <w:spacing w:before="5040"/>
      <w:jc w:val="center"/>
    </w:pPr>
    <w:rPr>
      <w:sz w:val="48"/>
      <w:szCs w:val="72"/>
      <w:lang w:val="en-US"/>
    </w:rPr>
  </w:style>
  <w:style w:type="character" w:customStyle="1" w:styleId="TitleChar">
    <w:name w:val="Title Char"/>
    <w:basedOn w:val="DefaultParagraphFont"/>
    <w:link w:val="Title"/>
    <w:rsid w:val="002F3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8B3"/>
    <w:pPr>
      <w:tabs>
        <w:tab w:val="left" w:pos="3600"/>
        <w:tab w:val="left" w:pos="3958"/>
      </w:tabs>
    </w:pPr>
  </w:style>
  <w:style w:type="paragraph" w:styleId="List">
    <w:name w:val="List"/>
    <w:basedOn w:val="BodyText"/>
    <w:next w:val="BodyText"/>
    <w:rsid w:val="002F38B3"/>
    <w:pPr>
      <w:tabs>
        <w:tab w:val="left" w:pos="340"/>
      </w:tabs>
      <w:spacing w:before="60" w:after="60"/>
      <w:ind w:left="340" w:hanging="340"/>
    </w:pPr>
  </w:style>
  <w:style w:type="paragraph" w:customStyle="1" w:styleId="Note">
    <w:name w:val="Note"/>
    <w:basedOn w:val="BodyText"/>
    <w:rsid w:val="002F38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38B3"/>
    <w:rPr>
      <w:b/>
      <w:spacing w:val="0"/>
    </w:rPr>
  </w:style>
  <w:style w:type="paragraph" w:customStyle="1" w:styleId="SuperTitle">
    <w:name w:val="SuperTitle"/>
    <w:basedOn w:val="Title"/>
    <w:rsid w:val="002F38B3"/>
    <w:pPr>
      <w:framePr w:wrap="auto" w:hAnchor="text" w:y="6049"/>
    </w:pPr>
    <w:rPr>
      <w:color w:val="000000"/>
      <w:sz w:val="40"/>
    </w:rPr>
  </w:style>
  <w:style w:type="paragraph" w:customStyle="1" w:styleId="TOCTitle">
    <w:name w:val="TOCTitle"/>
    <w:basedOn w:val="Heading1"/>
    <w:rsid w:val="002F38B3"/>
    <w:pPr>
      <w:spacing w:after="240"/>
      <w:jc w:val="center"/>
      <w:outlineLvl w:val="9"/>
    </w:pPr>
    <w:rPr>
      <w:caps/>
    </w:rPr>
  </w:style>
  <w:style w:type="paragraph" w:customStyle="1" w:styleId="Version">
    <w:name w:val="Version"/>
    <w:rsid w:val="002F3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8B3"/>
    <w:pPr>
      <w:keepNext w:val="0"/>
      <w:tabs>
        <w:tab w:val="right" w:pos="4176"/>
      </w:tabs>
      <w:ind w:left="198" w:hanging="198"/>
    </w:pPr>
    <w:rPr>
      <w:rFonts w:ascii="Garamond" w:hAnsi="Garamond"/>
    </w:rPr>
  </w:style>
  <w:style w:type="paragraph" w:styleId="IndexHeading">
    <w:name w:val="index heading"/>
    <w:basedOn w:val="Normal"/>
    <w:next w:val="Index1"/>
    <w:semiHidden/>
    <w:rsid w:val="002F38B3"/>
    <w:pPr>
      <w:spacing w:before="120" w:after="120"/>
    </w:pPr>
    <w:rPr>
      <w:rFonts w:ascii="Arial" w:hAnsi="Arial"/>
      <w:b/>
      <w:color w:val="918585"/>
      <w:sz w:val="24"/>
    </w:rPr>
  </w:style>
  <w:style w:type="paragraph" w:styleId="Header">
    <w:name w:val="header"/>
    <w:basedOn w:val="Normal"/>
    <w:link w:val="HeaderChar"/>
    <w:rsid w:val="002F3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8B3"/>
    <w:rPr>
      <w:rFonts w:ascii="Times New Roman" w:eastAsia="Times New Roman" w:hAnsi="Times New Roman" w:cs="Times New Roman"/>
      <w:sz w:val="16"/>
      <w:szCs w:val="20"/>
      <w:lang w:val="en-GB" w:eastAsia="en-US"/>
    </w:rPr>
  </w:style>
  <w:style w:type="paragraph" w:customStyle="1" w:styleId="Chapter">
    <w:name w:val="Chapter"/>
    <w:basedOn w:val="Normal"/>
    <w:rsid w:val="002F38B3"/>
    <w:pPr>
      <w:spacing w:before="240"/>
    </w:pPr>
    <w:rPr>
      <w:rFonts w:ascii="Times New Roman" w:hAnsi="Times New Roman"/>
      <w:smallCaps/>
      <w:spacing w:val="80"/>
      <w:sz w:val="28"/>
    </w:rPr>
  </w:style>
  <w:style w:type="paragraph" w:customStyle="1" w:styleId="InChapter">
    <w:name w:val="InChapter"/>
    <w:basedOn w:val="Heading3"/>
    <w:rsid w:val="002F38B3"/>
    <w:pPr>
      <w:spacing w:after="240"/>
      <w:outlineLvl w:val="9"/>
    </w:pPr>
    <w:rPr>
      <w:noProof/>
    </w:rPr>
  </w:style>
  <w:style w:type="paragraph" w:styleId="Index2">
    <w:name w:val="index 2"/>
    <w:basedOn w:val="Normal"/>
    <w:next w:val="Normal"/>
    <w:semiHidden/>
    <w:rsid w:val="002F38B3"/>
    <w:pPr>
      <w:tabs>
        <w:tab w:val="right" w:pos="4176"/>
      </w:tabs>
      <w:ind w:left="568" w:hanging="284"/>
    </w:pPr>
    <w:rPr>
      <w:rFonts w:ascii="Garamond" w:hAnsi="Garamond"/>
    </w:rPr>
  </w:style>
  <w:style w:type="paragraph" w:customStyle="1" w:styleId="Byline">
    <w:name w:val="Byline"/>
    <w:rsid w:val="002F3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8B3"/>
    <w:pPr>
      <w:tabs>
        <w:tab w:val="clear" w:pos="3600"/>
        <w:tab w:val="clear" w:pos="3958"/>
      </w:tabs>
      <w:jc w:val="right"/>
    </w:pPr>
  </w:style>
  <w:style w:type="character" w:styleId="Emphasis">
    <w:name w:val="Emphasis"/>
    <w:basedOn w:val="DefaultParagraphFont"/>
    <w:qFormat/>
    <w:rsid w:val="002F38B3"/>
    <w:rPr>
      <w:i/>
    </w:rPr>
  </w:style>
  <w:style w:type="paragraph" w:styleId="Caption">
    <w:name w:val="caption"/>
    <w:basedOn w:val="BodyText"/>
    <w:next w:val="Normal"/>
    <w:qFormat/>
    <w:rsid w:val="002F38B3"/>
    <w:pPr>
      <w:framePr w:w="2268" w:hSpace="181" w:vSpace="181" w:wrap="around" w:vAnchor="text" w:hAnchor="page" w:x="1135" w:y="285" w:anchorLock="1"/>
    </w:pPr>
    <w:rPr>
      <w:i/>
    </w:rPr>
  </w:style>
  <w:style w:type="paragraph" w:customStyle="1" w:styleId="MiniTOCTitle">
    <w:name w:val="MiniTOCTitle"/>
    <w:basedOn w:val="Heading4"/>
    <w:rsid w:val="002F38B3"/>
    <w:pPr>
      <w:spacing w:before="240"/>
      <w:outlineLvl w:val="9"/>
    </w:pPr>
    <w:rPr>
      <w:noProof/>
      <w:sz w:val="24"/>
    </w:rPr>
  </w:style>
  <w:style w:type="paragraph" w:customStyle="1" w:styleId="MiniTOCItem">
    <w:name w:val="MiniTOCItem"/>
    <w:basedOn w:val="ListBullet"/>
    <w:rsid w:val="002F38B3"/>
    <w:pPr>
      <w:numPr>
        <w:numId w:val="0"/>
      </w:numPr>
      <w:tabs>
        <w:tab w:val="right" w:leader="dot" w:pos="6521"/>
      </w:tabs>
      <w:spacing w:before="0" w:after="0"/>
    </w:pPr>
  </w:style>
  <w:style w:type="paragraph" w:customStyle="1" w:styleId="TOFTitle">
    <w:name w:val="TOFTitle"/>
    <w:basedOn w:val="TOCTitle"/>
    <w:rsid w:val="002F38B3"/>
  </w:style>
  <w:style w:type="paragraph" w:styleId="TableofFigures">
    <w:name w:val="table of figures"/>
    <w:basedOn w:val="Normal"/>
    <w:next w:val="Normal"/>
    <w:semiHidden/>
    <w:rsid w:val="002F38B3"/>
    <w:pPr>
      <w:tabs>
        <w:tab w:val="right" w:leader="dot" w:pos="9072"/>
      </w:tabs>
      <w:ind w:left="970" w:hanging="403"/>
    </w:pPr>
    <w:rPr>
      <w:rFonts w:ascii="Times New Roman" w:hAnsi="Times New Roman"/>
      <w:b/>
    </w:rPr>
  </w:style>
  <w:style w:type="paragraph" w:styleId="ListNumber">
    <w:name w:val="List Number"/>
    <w:basedOn w:val="List"/>
    <w:rsid w:val="002F38B3"/>
    <w:pPr>
      <w:numPr>
        <w:numId w:val="15"/>
      </w:numPr>
      <w:tabs>
        <w:tab w:val="clear" w:pos="340"/>
      </w:tabs>
    </w:pPr>
  </w:style>
  <w:style w:type="character" w:customStyle="1" w:styleId="WingdingSymbols">
    <w:name w:val="Wingding Symbols"/>
    <w:rsid w:val="002F38B3"/>
    <w:rPr>
      <w:rFonts w:ascii="Wingdings" w:hAnsi="Wingdings"/>
    </w:rPr>
  </w:style>
  <w:style w:type="paragraph" w:customStyle="1" w:styleId="TableHeading">
    <w:name w:val="Table Heading"/>
    <w:basedOn w:val="HeadingBase"/>
    <w:rsid w:val="002F38B3"/>
    <w:pPr>
      <w:keepLines/>
      <w:pBdr>
        <w:bottom w:val="single" w:sz="6" w:space="1" w:color="918585"/>
      </w:pBdr>
      <w:spacing w:before="240"/>
    </w:pPr>
  </w:style>
  <w:style w:type="character" w:customStyle="1" w:styleId="HotSpot">
    <w:name w:val="HotSpot"/>
    <w:rsid w:val="002F38B3"/>
    <w:rPr>
      <w:color w:val="0033CC"/>
      <w:u w:val="none"/>
    </w:rPr>
  </w:style>
  <w:style w:type="paragraph" w:customStyle="1" w:styleId="BodyTextRight">
    <w:name w:val="Body Text Right"/>
    <w:basedOn w:val="BodyText"/>
    <w:rsid w:val="002F38B3"/>
    <w:pPr>
      <w:spacing w:before="0" w:after="0"/>
      <w:jc w:val="right"/>
    </w:pPr>
  </w:style>
  <w:style w:type="paragraph" w:styleId="Index3">
    <w:name w:val="index 3"/>
    <w:basedOn w:val="ListNumber2"/>
    <w:next w:val="Normal"/>
    <w:semiHidden/>
    <w:rsid w:val="002F38B3"/>
    <w:pPr>
      <w:numPr>
        <w:numId w:val="0"/>
      </w:numPr>
      <w:tabs>
        <w:tab w:val="right" w:leader="dot" w:pos="4176"/>
      </w:tabs>
    </w:pPr>
  </w:style>
  <w:style w:type="paragraph" w:styleId="ListNumber2">
    <w:name w:val="List Number 2"/>
    <w:basedOn w:val="List2"/>
    <w:rsid w:val="002F38B3"/>
    <w:pPr>
      <w:numPr>
        <w:numId w:val="10"/>
      </w:numPr>
      <w:tabs>
        <w:tab w:val="clear" w:pos="1060"/>
      </w:tabs>
    </w:pPr>
  </w:style>
  <w:style w:type="paragraph" w:customStyle="1" w:styleId="MarginNote">
    <w:name w:val="Margin Note"/>
    <w:basedOn w:val="BodyText"/>
    <w:rsid w:val="002F3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8B3"/>
    <w:rPr>
      <w:sz w:val="32"/>
    </w:rPr>
  </w:style>
  <w:style w:type="paragraph" w:customStyle="1" w:styleId="HeadingProcedure">
    <w:name w:val="Heading Procedure"/>
    <w:basedOn w:val="HeadingBase"/>
    <w:next w:val="Normal"/>
    <w:rsid w:val="002F38B3"/>
    <w:pPr>
      <w:tabs>
        <w:tab w:val="left" w:pos="0"/>
      </w:tabs>
      <w:spacing w:before="120" w:after="60"/>
    </w:pPr>
    <w:rPr>
      <w:i/>
      <w:color w:val="918585"/>
      <w:sz w:val="22"/>
    </w:rPr>
  </w:style>
  <w:style w:type="paragraph" w:customStyle="1" w:styleId="TableBodyText">
    <w:name w:val="Table Body Text"/>
    <w:basedOn w:val="BodyText"/>
    <w:rsid w:val="002F38B3"/>
    <w:pPr>
      <w:spacing w:before="60" w:after="60"/>
    </w:pPr>
  </w:style>
  <w:style w:type="paragraph" w:styleId="ListContinue">
    <w:name w:val="List Continue"/>
    <w:basedOn w:val="List"/>
    <w:rsid w:val="002F38B3"/>
    <w:pPr>
      <w:ind w:firstLine="0"/>
    </w:pPr>
  </w:style>
  <w:style w:type="paragraph" w:customStyle="1" w:styleId="ListNote">
    <w:name w:val="List Note"/>
    <w:basedOn w:val="List"/>
    <w:rsid w:val="002F38B3"/>
    <w:pPr>
      <w:pBdr>
        <w:top w:val="single" w:sz="6" w:space="2" w:color="918585"/>
        <w:bottom w:val="single" w:sz="6" w:space="2" w:color="918585"/>
      </w:pBdr>
      <w:tabs>
        <w:tab w:val="left" w:pos="1021"/>
      </w:tabs>
      <w:ind w:firstLine="0"/>
    </w:pPr>
  </w:style>
  <w:style w:type="paragraph" w:customStyle="1" w:styleId="Warning">
    <w:name w:val="Warning"/>
    <w:basedOn w:val="BodyText"/>
    <w:rsid w:val="002F38B3"/>
    <w:pPr>
      <w:shd w:val="clear" w:color="auto" w:fill="D9D9D9"/>
      <w:tabs>
        <w:tab w:val="left" w:pos="992"/>
      </w:tabs>
      <w:ind w:left="119" w:right="119"/>
    </w:pPr>
    <w:rPr>
      <w:sz w:val="20"/>
    </w:rPr>
  </w:style>
  <w:style w:type="paragraph" w:customStyle="1" w:styleId="MarginIcons">
    <w:name w:val="Margin Icons"/>
    <w:basedOn w:val="BodyText"/>
    <w:rsid w:val="002F3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8B3"/>
    <w:rPr>
      <w:rFonts w:ascii="Courier New" w:hAnsi="Courier New"/>
    </w:rPr>
  </w:style>
  <w:style w:type="paragraph" w:customStyle="1" w:styleId="NoteBullet">
    <w:name w:val="Note Bullet"/>
    <w:basedOn w:val="Note"/>
    <w:rsid w:val="002F38B3"/>
    <w:pPr>
      <w:tabs>
        <w:tab w:val="clear" w:pos="680"/>
      </w:tabs>
      <w:spacing w:before="60" w:after="60"/>
    </w:pPr>
  </w:style>
  <w:style w:type="paragraph" w:customStyle="1" w:styleId="SubHeading2">
    <w:name w:val="SubHeading2"/>
    <w:basedOn w:val="HeadingBase"/>
    <w:rsid w:val="002F38B3"/>
    <w:pPr>
      <w:spacing w:before="240" w:after="60"/>
    </w:pPr>
    <w:rPr>
      <w:sz w:val="20"/>
    </w:rPr>
  </w:style>
  <w:style w:type="paragraph" w:customStyle="1" w:styleId="SubHeading1">
    <w:name w:val="SubHeading1"/>
    <w:basedOn w:val="HeadingBase"/>
    <w:rsid w:val="002F38B3"/>
    <w:pPr>
      <w:spacing w:before="240" w:after="60"/>
    </w:pPr>
    <w:rPr>
      <w:color w:val="918585"/>
      <w:sz w:val="22"/>
    </w:rPr>
  </w:style>
  <w:style w:type="paragraph" w:customStyle="1" w:styleId="SideHeading">
    <w:name w:val="Side Heading"/>
    <w:basedOn w:val="HeadingBase"/>
    <w:rsid w:val="002F3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8B3"/>
    <w:pPr>
      <w:tabs>
        <w:tab w:val="num" w:pos="360"/>
      </w:tabs>
    </w:pPr>
  </w:style>
  <w:style w:type="paragraph" w:styleId="PlainText">
    <w:name w:val="Plain Text"/>
    <w:basedOn w:val="Normal"/>
    <w:link w:val="PlainTextChar"/>
    <w:rsid w:val="002F38B3"/>
    <w:rPr>
      <w:sz w:val="20"/>
    </w:rPr>
  </w:style>
  <w:style w:type="character" w:customStyle="1" w:styleId="PlainTextChar">
    <w:name w:val="Plain Text Char"/>
    <w:basedOn w:val="DefaultParagraphFont"/>
    <w:link w:val="PlainText"/>
    <w:rsid w:val="002F38B3"/>
    <w:rPr>
      <w:rFonts w:ascii="Courier New" w:eastAsia="Times New Roman" w:hAnsi="Courier New" w:cs="Times New Roman"/>
      <w:sz w:val="20"/>
      <w:szCs w:val="20"/>
      <w:lang w:eastAsia="en-US"/>
    </w:rPr>
  </w:style>
  <w:style w:type="character" w:customStyle="1" w:styleId="MenuOption">
    <w:name w:val="Menu Option"/>
    <w:basedOn w:val="DefaultParagraphFont"/>
    <w:rsid w:val="002F38B3"/>
    <w:rPr>
      <w:b/>
      <w:smallCaps/>
    </w:rPr>
  </w:style>
  <w:style w:type="paragraph" w:customStyle="1" w:styleId="TableListNumber">
    <w:name w:val="Table List Number"/>
    <w:basedOn w:val="ListNumber"/>
    <w:rsid w:val="002F38B3"/>
    <w:pPr>
      <w:numPr>
        <w:numId w:val="0"/>
      </w:numPr>
    </w:pPr>
  </w:style>
  <w:style w:type="paragraph" w:styleId="TOC4">
    <w:name w:val="toc 4"/>
    <w:basedOn w:val="TOCBase"/>
    <w:next w:val="Normal"/>
    <w:semiHidden/>
    <w:rsid w:val="002F38B3"/>
    <w:pPr>
      <w:tabs>
        <w:tab w:val="right" w:leader="dot" w:pos="9071"/>
      </w:tabs>
      <w:ind w:left="1701"/>
    </w:pPr>
  </w:style>
  <w:style w:type="paragraph" w:customStyle="1" w:styleId="ListAlpha">
    <w:name w:val="List Alpha"/>
    <w:basedOn w:val="List"/>
    <w:rsid w:val="002F38B3"/>
    <w:pPr>
      <w:numPr>
        <w:numId w:val="9"/>
      </w:numPr>
    </w:pPr>
  </w:style>
  <w:style w:type="paragraph" w:customStyle="1" w:styleId="ListAlpha2">
    <w:name w:val="List Alpha 2"/>
    <w:basedOn w:val="List2"/>
    <w:rsid w:val="002F38B3"/>
    <w:pPr>
      <w:numPr>
        <w:numId w:val="8"/>
      </w:numPr>
    </w:pPr>
  </w:style>
  <w:style w:type="paragraph" w:styleId="List2">
    <w:name w:val="List 2"/>
    <w:basedOn w:val="BodyText"/>
    <w:rsid w:val="002F38B3"/>
    <w:pPr>
      <w:tabs>
        <w:tab w:val="left" w:pos="680"/>
      </w:tabs>
      <w:spacing w:before="60" w:after="60"/>
      <w:ind w:left="680" w:hanging="340"/>
    </w:pPr>
  </w:style>
  <w:style w:type="paragraph" w:styleId="List3">
    <w:name w:val="List 3"/>
    <w:basedOn w:val="BodyText"/>
    <w:rsid w:val="002F38B3"/>
    <w:pPr>
      <w:tabs>
        <w:tab w:val="left" w:pos="1021"/>
      </w:tabs>
      <w:spacing w:before="60" w:after="60"/>
      <w:ind w:left="1020" w:hanging="340"/>
    </w:pPr>
  </w:style>
  <w:style w:type="paragraph" w:styleId="List4">
    <w:name w:val="List 4"/>
    <w:basedOn w:val="BodyText"/>
    <w:rsid w:val="002F38B3"/>
    <w:pPr>
      <w:tabs>
        <w:tab w:val="left" w:pos="1361"/>
      </w:tabs>
      <w:spacing w:before="60" w:after="60"/>
      <w:ind w:left="1361" w:hanging="340"/>
    </w:pPr>
  </w:style>
  <w:style w:type="paragraph" w:styleId="List5">
    <w:name w:val="List 5"/>
    <w:basedOn w:val="BodyText"/>
    <w:rsid w:val="002F38B3"/>
    <w:pPr>
      <w:tabs>
        <w:tab w:val="left" w:pos="1701"/>
      </w:tabs>
      <w:spacing w:before="60" w:after="60"/>
      <w:ind w:left="1701" w:hanging="340"/>
    </w:pPr>
  </w:style>
  <w:style w:type="paragraph" w:styleId="ListBullet3">
    <w:name w:val="List Bullet 3"/>
    <w:basedOn w:val="List3"/>
    <w:rsid w:val="002F38B3"/>
    <w:pPr>
      <w:numPr>
        <w:numId w:val="14"/>
      </w:numPr>
      <w:tabs>
        <w:tab w:val="clear" w:pos="1021"/>
      </w:tabs>
      <w:ind w:left="1037" w:hanging="357"/>
    </w:pPr>
  </w:style>
  <w:style w:type="paragraph" w:styleId="ListBullet4">
    <w:name w:val="List Bullet 4"/>
    <w:basedOn w:val="List4"/>
    <w:rsid w:val="002F38B3"/>
    <w:pPr>
      <w:numPr>
        <w:numId w:val="3"/>
      </w:numPr>
      <w:tabs>
        <w:tab w:val="clear" w:pos="1361"/>
      </w:tabs>
    </w:pPr>
  </w:style>
  <w:style w:type="paragraph" w:styleId="ListBullet5">
    <w:name w:val="List Bullet 5"/>
    <w:basedOn w:val="List5"/>
    <w:rsid w:val="002F38B3"/>
    <w:pPr>
      <w:numPr>
        <w:numId w:val="4"/>
      </w:numPr>
    </w:pPr>
  </w:style>
  <w:style w:type="paragraph" w:styleId="ListContinue2">
    <w:name w:val="List Continue 2"/>
    <w:basedOn w:val="List2"/>
    <w:rsid w:val="002F38B3"/>
    <w:pPr>
      <w:ind w:firstLine="0"/>
    </w:pPr>
  </w:style>
  <w:style w:type="paragraph" w:styleId="ListContinue3">
    <w:name w:val="List Continue 3"/>
    <w:basedOn w:val="List3"/>
    <w:rsid w:val="002F38B3"/>
    <w:pPr>
      <w:ind w:left="1021" w:firstLine="0"/>
    </w:pPr>
  </w:style>
  <w:style w:type="paragraph" w:styleId="ListContinue4">
    <w:name w:val="List Continue 4"/>
    <w:basedOn w:val="List4"/>
    <w:rsid w:val="002F38B3"/>
    <w:pPr>
      <w:ind w:firstLine="0"/>
    </w:pPr>
  </w:style>
  <w:style w:type="paragraph" w:styleId="ListContinue5">
    <w:name w:val="List Continue 5"/>
    <w:basedOn w:val="List5"/>
    <w:rsid w:val="002F38B3"/>
    <w:pPr>
      <w:ind w:firstLine="0"/>
    </w:pPr>
  </w:style>
  <w:style w:type="paragraph" w:styleId="ListNumber3">
    <w:name w:val="List Number 3"/>
    <w:basedOn w:val="List3"/>
    <w:rsid w:val="002F38B3"/>
    <w:pPr>
      <w:numPr>
        <w:numId w:val="5"/>
      </w:numPr>
    </w:pPr>
  </w:style>
  <w:style w:type="paragraph" w:styleId="ListNumber4">
    <w:name w:val="List Number 4"/>
    <w:basedOn w:val="List4"/>
    <w:rsid w:val="002F38B3"/>
    <w:pPr>
      <w:numPr>
        <w:numId w:val="6"/>
      </w:numPr>
    </w:pPr>
  </w:style>
  <w:style w:type="paragraph" w:styleId="ListNumber5">
    <w:name w:val="List Number 5"/>
    <w:basedOn w:val="List5"/>
    <w:rsid w:val="002F38B3"/>
    <w:pPr>
      <w:numPr>
        <w:numId w:val="7"/>
      </w:numPr>
    </w:pPr>
  </w:style>
  <w:style w:type="paragraph" w:styleId="BlockText">
    <w:name w:val="Block Text"/>
    <w:basedOn w:val="Normal"/>
    <w:rsid w:val="002F38B3"/>
    <w:pPr>
      <w:spacing w:after="120"/>
      <w:ind w:left="1440" w:right="1440"/>
    </w:pPr>
  </w:style>
  <w:style w:type="character" w:customStyle="1" w:styleId="Subscript">
    <w:name w:val="Subscript"/>
    <w:basedOn w:val="DefaultParagraphFont"/>
    <w:rsid w:val="002F38B3"/>
    <w:rPr>
      <w:sz w:val="16"/>
      <w:vertAlign w:val="subscript"/>
    </w:rPr>
  </w:style>
  <w:style w:type="character" w:customStyle="1" w:styleId="Superscript">
    <w:name w:val="Superscript"/>
    <w:basedOn w:val="DefaultParagraphFont"/>
    <w:rsid w:val="002F38B3"/>
    <w:rPr>
      <w:sz w:val="16"/>
      <w:vertAlign w:val="superscript"/>
    </w:rPr>
  </w:style>
  <w:style w:type="character" w:customStyle="1" w:styleId="Symbols">
    <w:name w:val="Symbols"/>
    <w:basedOn w:val="DefaultParagraphFont"/>
    <w:rsid w:val="002F38B3"/>
    <w:rPr>
      <w:rFonts w:ascii="Symbol" w:hAnsi="Symbol"/>
    </w:rPr>
  </w:style>
  <w:style w:type="character" w:customStyle="1" w:styleId="MenuOptions">
    <w:name w:val="Menu Options"/>
    <w:basedOn w:val="DefaultParagraphFont"/>
    <w:rsid w:val="002F38B3"/>
    <w:rPr>
      <w:rFonts w:ascii="Arial Narrow" w:hAnsi="Arial Narrow"/>
      <w:smallCaps/>
    </w:rPr>
  </w:style>
  <w:style w:type="character" w:customStyle="1" w:styleId="Buttons">
    <w:name w:val="Buttons"/>
    <w:basedOn w:val="DefaultParagraphFont"/>
    <w:rsid w:val="002F38B3"/>
    <w:rPr>
      <w:b/>
    </w:rPr>
  </w:style>
  <w:style w:type="character" w:customStyle="1" w:styleId="Underlined">
    <w:name w:val="Underlined"/>
    <w:basedOn w:val="DefaultParagraphFont"/>
    <w:rsid w:val="002F38B3"/>
    <w:rPr>
      <w:u w:val="single"/>
    </w:rPr>
  </w:style>
  <w:style w:type="paragraph" w:customStyle="1" w:styleId="TableBodyTextRight">
    <w:name w:val="Table Body Text Right"/>
    <w:basedOn w:val="TableBodyText"/>
    <w:rsid w:val="002F38B3"/>
    <w:pPr>
      <w:widowControl w:val="0"/>
      <w:autoSpaceDE w:val="0"/>
      <w:autoSpaceDN w:val="0"/>
      <w:adjustRightInd w:val="0"/>
      <w:jc w:val="right"/>
    </w:pPr>
    <w:rPr>
      <w:rFonts w:cs="Arial"/>
      <w:szCs w:val="18"/>
    </w:rPr>
  </w:style>
  <w:style w:type="paragraph" w:customStyle="1" w:styleId="CopyrightText">
    <w:name w:val="Copyright Text"/>
    <w:basedOn w:val="BodyText"/>
    <w:rsid w:val="002F38B3"/>
    <w:rPr>
      <w:sz w:val="18"/>
    </w:rPr>
  </w:style>
  <w:style w:type="paragraph" w:customStyle="1" w:styleId="BodySmallRight">
    <w:name w:val="Body Small Right"/>
    <w:basedOn w:val="BodyTextRight"/>
    <w:rsid w:val="002F38B3"/>
    <w:rPr>
      <w:sz w:val="18"/>
      <w:szCs w:val="18"/>
    </w:rPr>
  </w:style>
  <w:style w:type="paragraph" w:customStyle="1" w:styleId="MarginEdition">
    <w:name w:val="Margin Edition"/>
    <w:basedOn w:val="MarginNote"/>
    <w:rsid w:val="002F38B3"/>
    <w:pPr>
      <w:spacing w:before="0" w:after="0"/>
    </w:pPr>
    <w:rPr>
      <w:rFonts w:ascii="Times New Roman" w:hAnsi="Times New Roman"/>
      <w:color w:val="999999"/>
    </w:rPr>
  </w:style>
  <w:style w:type="paragraph" w:customStyle="1" w:styleId="Spacer">
    <w:name w:val="Spacer"/>
    <w:basedOn w:val="Normal"/>
    <w:rsid w:val="002F38B3"/>
    <w:rPr>
      <w:sz w:val="2"/>
      <w:szCs w:val="2"/>
    </w:rPr>
  </w:style>
  <w:style w:type="character" w:customStyle="1" w:styleId="Small">
    <w:name w:val="Small"/>
    <w:basedOn w:val="DefaultParagraphFont"/>
    <w:rsid w:val="002F38B3"/>
    <w:rPr>
      <w:sz w:val="16"/>
    </w:rPr>
  </w:style>
  <w:style w:type="paragraph" w:customStyle="1" w:styleId="WideTable">
    <w:name w:val="Wide Table"/>
    <w:basedOn w:val="Normal"/>
    <w:rsid w:val="002F38B3"/>
    <w:pPr>
      <w:ind w:left="-1418"/>
    </w:pPr>
    <w:rPr>
      <w:sz w:val="2"/>
      <w:szCs w:val="2"/>
    </w:rPr>
  </w:style>
  <w:style w:type="character" w:styleId="PageNumber">
    <w:name w:val="page number"/>
    <w:basedOn w:val="DefaultParagraphFont"/>
    <w:rsid w:val="002F38B3"/>
  </w:style>
  <w:style w:type="paragraph" w:styleId="Quote">
    <w:name w:val="Quote"/>
    <w:basedOn w:val="Heading1"/>
    <w:link w:val="QuoteChar"/>
    <w:qFormat/>
    <w:rsid w:val="002F38B3"/>
    <w:rPr>
      <w:b w:val="0"/>
      <w:sz w:val="72"/>
      <w:szCs w:val="72"/>
      <w:lang w:val="en-NZ"/>
    </w:rPr>
  </w:style>
  <w:style w:type="character" w:customStyle="1" w:styleId="QuoteChar">
    <w:name w:val="Quote Char"/>
    <w:basedOn w:val="DefaultParagraphFont"/>
    <w:link w:val="Quote"/>
    <w:rsid w:val="002F3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8B3"/>
    <w:pPr>
      <w:pageBreakBefore/>
    </w:pPr>
  </w:style>
  <w:style w:type="paragraph" w:customStyle="1" w:styleId="Border">
    <w:name w:val="Border"/>
    <w:basedOn w:val="Normal"/>
    <w:qFormat/>
    <w:rsid w:val="002F3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8B3"/>
    <w:rPr>
      <w:b/>
      <w:bCs/>
      <w:i/>
      <w:iCs/>
      <w:color w:val="auto"/>
    </w:rPr>
  </w:style>
  <w:style w:type="paragraph" w:styleId="IntenseQuote">
    <w:name w:val="Intense Quote"/>
    <w:basedOn w:val="Normal"/>
    <w:next w:val="Normal"/>
    <w:link w:val="IntenseQuoteChar"/>
    <w:uiPriority w:val="30"/>
    <w:qFormat/>
    <w:rsid w:val="002F3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8B3"/>
    <w:rPr>
      <w:smallCaps/>
      <w:color w:val="auto"/>
      <w:u w:val="single"/>
    </w:rPr>
  </w:style>
  <w:style w:type="character" w:styleId="IntenseReference">
    <w:name w:val="Intense Reference"/>
    <w:basedOn w:val="DefaultParagraphFont"/>
    <w:uiPriority w:val="32"/>
    <w:qFormat/>
    <w:rsid w:val="002F38B3"/>
    <w:rPr>
      <w:b/>
      <w:bCs/>
      <w:smallCaps/>
      <w:color w:val="auto"/>
      <w:spacing w:val="5"/>
      <w:u w:val="single"/>
    </w:rPr>
  </w:style>
  <w:style w:type="paragraph" w:customStyle="1" w:styleId="2ColumnHeading">
    <w:name w:val="2Column Heading"/>
    <w:basedOn w:val="BodyText"/>
    <w:qFormat/>
    <w:rsid w:val="002F38B3"/>
    <w:pPr>
      <w:spacing w:after="60"/>
      <w:ind w:left="-2268"/>
    </w:pPr>
    <w:rPr>
      <w:b/>
    </w:rPr>
  </w:style>
  <w:style w:type="paragraph" w:customStyle="1" w:styleId="Heading1TOC">
    <w:name w:val="Heading1 TOC"/>
    <w:basedOn w:val="Normal"/>
    <w:qFormat/>
    <w:rsid w:val="002F38B3"/>
    <w:pPr>
      <w:spacing w:before="240" w:after="120"/>
    </w:pPr>
    <w:rPr>
      <w:rFonts w:ascii="Times New Roman" w:hAnsi="Times New Roman"/>
      <w:b/>
      <w:sz w:val="32"/>
    </w:rPr>
  </w:style>
  <w:style w:type="paragraph" w:customStyle="1" w:styleId="Heading2TOC">
    <w:name w:val="Heading2 TOC"/>
    <w:basedOn w:val="Normal"/>
    <w:qFormat/>
    <w:rsid w:val="002F38B3"/>
    <w:pPr>
      <w:spacing w:before="240" w:after="60"/>
    </w:pPr>
    <w:rPr>
      <w:rFonts w:ascii="Times New Roman" w:hAnsi="Times New Roman"/>
      <w:b/>
      <w:sz w:val="28"/>
    </w:rPr>
  </w:style>
  <w:style w:type="character" w:customStyle="1" w:styleId="Underline">
    <w:name w:val="Underline"/>
    <w:basedOn w:val="DefaultParagraphFont"/>
    <w:qFormat/>
    <w:rsid w:val="002F38B3"/>
    <w:rPr>
      <w:u w:val="single"/>
    </w:rPr>
  </w:style>
  <w:style w:type="character" w:customStyle="1" w:styleId="BoldandItalics">
    <w:name w:val="Bold and Italics"/>
    <w:qFormat/>
    <w:rsid w:val="002F38B3"/>
    <w:rPr>
      <w:b/>
      <w:i/>
      <w:u w:val="none"/>
    </w:rPr>
  </w:style>
  <w:style w:type="paragraph" w:styleId="BalloonText">
    <w:name w:val="Balloon Text"/>
    <w:basedOn w:val="Normal"/>
    <w:link w:val="BalloonTextChar"/>
    <w:rsid w:val="002F38B3"/>
    <w:rPr>
      <w:rFonts w:ascii="Tahoma" w:hAnsi="Tahoma" w:cs="Tahoma"/>
      <w:sz w:val="16"/>
      <w:szCs w:val="16"/>
    </w:rPr>
  </w:style>
  <w:style w:type="character" w:customStyle="1" w:styleId="BalloonTextChar">
    <w:name w:val="Balloon Text Char"/>
    <w:basedOn w:val="DefaultParagraphFont"/>
    <w:link w:val="BalloonText"/>
    <w:rsid w:val="002F3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8B3"/>
    <w:rPr>
      <w:b/>
      <w:color w:val="660033"/>
      <w:spacing w:val="0"/>
    </w:rPr>
  </w:style>
  <w:style w:type="paragraph" w:customStyle="1" w:styleId="Nameditemlist">
    <w:name w:val="Named item list"/>
    <w:basedOn w:val="BodyText"/>
    <w:qFormat/>
    <w:rsid w:val="002F38B3"/>
    <w:pPr>
      <w:tabs>
        <w:tab w:val="left" w:pos="2835"/>
      </w:tabs>
      <w:ind w:left="2835" w:hanging="2835"/>
    </w:pPr>
  </w:style>
  <w:style w:type="paragraph" w:customStyle="1" w:styleId="BodyTextnopadding">
    <w:name w:val="Body Text no padding"/>
    <w:basedOn w:val="BodyText"/>
    <w:qFormat/>
    <w:rsid w:val="002F38B3"/>
    <w:pPr>
      <w:spacing w:before="0" w:after="0"/>
    </w:pPr>
  </w:style>
  <w:style w:type="paragraph" w:customStyle="1" w:styleId="BodyTextBold">
    <w:name w:val="Body Text Bold"/>
    <w:basedOn w:val="BodyText"/>
    <w:qFormat/>
    <w:rsid w:val="002F38B3"/>
    <w:rPr>
      <w:b/>
    </w:rPr>
  </w:style>
  <w:style w:type="character" w:styleId="Hyperlink">
    <w:name w:val="Hyperlink"/>
    <w:basedOn w:val="DefaultParagraphFont"/>
    <w:uiPriority w:val="99"/>
    <w:unhideWhenUsed/>
    <w:rsid w:val="00821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6296</Characters>
  <Application>Microsoft Office Word</Application>
  <DocSecurity>0</DocSecurity>
  <Lines>131</Lines>
  <Paragraphs>83</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UETDRTS023 Repair, test and calibrate protection relays and meters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2022-06-03T04:36:00Z</dcterms:created>
  <dcterms:modified xsi:type="dcterms:W3CDTF">2022-06-03T04:36:00Z</dcterms:modified>
</cp:coreProperties>
</file>