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6CF" w:rsidP="00A706CF">
      <w:pPr>
        <w:pStyle w:val="Title"/>
      </w:pPr>
      <w:r>
        <w:fldChar w:fldCharType="begin"/>
      </w:r>
      <w:r>
        <w:instrText xml:space="preserve"> TITLE   \* MERGEFORMAT </w:instrText>
      </w:r>
      <w:r>
        <w:fldChar w:fldCharType="separate"/>
      </w:r>
      <w:r>
        <w:t>UETDRTS013 Install and replace high voltage metering and associated equipment</w:t>
      </w:r>
      <w:r>
        <w:fldChar w:fldCharType="end"/>
      </w:r>
    </w:p>
    <w:p w:rsidR="00A706CF" w:rsidP="00A706CF">
      <w:pPr>
        <w:pStyle w:val="Version"/>
        <w:sectPr w:rsidSect="00B472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2B0" w:rsidP="00B472B0">
      <w:pPr>
        <w:pStyle w:val="SuperHeading"/>
      </w:pPr>
      <w:r w:rsidRPr="00B472B0">
        <w:t>UETDRTS013 Install and replace high voltage metering and associated equipment</w:t>
      </w:r>
    </w:p>
    <w:p w:rsidR="00000000" w:rsidRPr="00B472B0" w:rsidP="00B472B0">
      <w:pPr>
        <w:pStyle w:val="Heading1"/>
      </w:pPr>
      <w:bookmarkStart w:id="1" w:name="O_1178377"/>
      <w:bookmarkEnd w:id="1"/>
      <w:r w:rsidRPr="00B472B0">
        <w:t>Modification History</w:t>
      </w:r>
    </w:p>
    <w:tbl>
      <w:tblPr>
        <w:tblW w:w="9497" w:type="dxa"/>
        <w:tblLayout w:type="fixed"/>
        <w:tblCellMar>
          <w:left w:w="62" w:type="dxa"/>
          <w:right w:w="62" w:type="dxa"/>
        </w:tblCellMar>
        <w:tblLook w:val="0000"/>
      </w:tblPr>
      <w:tblGrid>
        <w:gridCol w:w="9497"/>
      </w:tblGrid>
      <w:tr w:rsidTr="00B47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t>Release 1. This is the first release of this unit of competency in the UET Transmission, Distribution and Rail Sector Training Package Release 2.0.</w:t>
            </w:r>
          </w:p>
        </w:tc>
      </w:tr>
    </w:tbl>
    <w:p w:rsidR="00000000" w:rsidRPr="00B472B0" w:rsidP="00B472B0">
      <w:pPr>
        <w:pStyle w:val="NoPaddingFontSize1"/>
      </w:pPr>
    </w:p>
    <w:p w:rsidR="00000000" w:rsidRPr="00B472B0" w:rsidP="00B472B0">
      <w:pPr>
        <w:pStyle w:val="AllowPageBreak"/>
      </w:pPr>
    </w:p>
    <w:p w:rsidR="00000000" w:rsidRPr="00B472B0" w:rsidP="00B472B0">
      <w:pPr>
        <w:pStyle w:val="Heading1"/>
      </w:pPr>
      <w:bookmarkStart w:id="2" w:name="O_1178378"/>
      <w:bookmarkEnd w:id="2"/>
      <w:r w:rsidRPr="00B472B0">
        <w:t>Application</w:t>
      </w:r>
    </w:p>
    <w:tbl>
      <w:tblPr>
        <w:tblW w:w="9497" w:type="dxa"/>
        <w:tblLayout w:type="fixed"/>
        <w:tblCellMar>
          <w:left w:w="62" w:type="dxa"/>
          <w:right w:w="62" w:type="dxa"/>
        </w:tblCellMar>
        <w:tblLook w:val="0000"/>
      </w:tblPr>
      <w:tblGrid>
        <w:gridCol w:w="9497"/>
      </w:tblGrid>
      <w:tr w:rsidTr="00B47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t>This unit covers the installation and replacement of high voltage (HV) mete</w:t>
            </w:r>
            <w:r w:rsidRPr="00B472B0">
              <w:t>ring and associated equipment. Replacement includes the identification of faults in accordance with established procedures and return to service. It includes the requirements to ascertain if normal functions of the meters and associated equipment are in ac</w:t>
            </w:r>
            <w:r w:rsidRPr="00B472B0">
              <w:t>cordance with operating standards.</w:t>
            </w:r>
          </w:p>
          <w:p w:rsidR="00000000" w:rsidRPr="00B472B0" w:rsidP="00B472B0">
            <w:pPr>
              <w:pStyle w:val="BodyText"/>
            </w:pPr>
            <w:r w:rsidRPr="00B472B0">
              <w:t xml:space="preserve">The application of the skills and knowledge described in this unit requires a licence/registration to practice in the workplace subject to regulations for undertaking of electrical work.  </w:t>
            </w:r>
          </w:p>
          <w:p w:rsidR="00000000" w:rsidRPr="00B472B0" w:rsidP="00B472B0">
            <w:pPr>
              <w:pStyle w:val="BodyText"/>
            </w:pPr>
            <w:r w:rsidRPr="00B472B0">
              <w:t>Other conditions may apply under</w:t>
            </w:r>
            <w:r w:rsidRPr="00B472B0">
              <w:t xml:space="preserve"> state and territory legislative and regulatory licensing requirements which must be confirmed prior to commencing this unit.</w:t>
            </w:r>
          </w:p>
        </w:tc>
      </w:tr>
    </w:tbl>
    <w:p w:rsidR="00000000" w:rsidRPr="00B472B0" w:rsidP="00B472B0">
      <w:pPr>
        <w:pStyle w:val="NoPaddingFontSize1"/>
      </w:pPr>
    </w:p>
    <w:p w:rsidR="00000000" w:rsidRPr="00B472B0" w:rsidP="00B472B0">
      <w:pPr>
        <w:pStyle w:val="AllowPageBreak"/>
      </w:pPr>
    </w:p>
    <w:p w:rsidR="00000000" w:rsidRPr="00B472B0" w:rsidP="00B472B0">
      <w:pPr>
        <w:pStyle w:val="Heading1"/>
      </w:pPr>
      <w:bookmarkStart w:id="3" w:name="O_1178379"/>
      <w:bookmarkEnd w:id="3"/>
      <w:r w:rsidRPr="00B472B0">
        <w:t>Pre-requisite Unit</w:t>
      </w:r>
    </w:p>
    <w:tbl>
      <w:tblPr>
        <w:tblW w:w="9497" w:type="dxa"/>
        <w:tblLayout w:type="fixed"/>
        <w:tblCellMar>
          <w:left w:w="62" w:type="dxa"/>
          <w:right w:w="62" w:type="dxa"/>
        </w:tblCellMar>
        <w:tblLook w:val="0000"/>
      </w:tblPr>
      <w:tblGrid>
        <w:gridCol w:w="9497"/>
      </w:tblGrid>
      <w:tr w:rsidTr="00B47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t>UEENEEE101A Apply Occupational Health and Safety regulations, codes and practices in the w</w:t>
            </w:r>
            <w:r w:rsidRPr="00B472B0">
              <w:t>orkplace</w:t>
            </w:r>
          </w:p>
          <w:p w:rsidR="00000000" w:rsidRPr="00B472B0" w:rsidP="00B472B0">
            <w:pPr>
              <w:pStyle w:val="BodyText"/>
            </w:pPr>
            <w:r w:rsidRPr="00B472B0">
              <w:t>UEENEEE102A Fabricate, assemble and dismantle utilities industry components</w:t>
            </w:r>
          </w:p>
          <w:p w:rsidR="00000000" w:rsidRPr="00B472B0" w:rsidP="00B472B0">
            <w:pPr>
              <w:pStyle w:val="BodyText"/>
            </w:pPr>
            <w:r w:rsidRPr="00B472B0">
              <w:t>UEENEEE104A Solve problems in d.c. circuits</w:t>
            </w:r>
          </w:p>
          <w:p w:rsidR="00000000" w:rsidRPr="00B472B0" w:rsidP="00B472B0">
            <w:pPr>
              <w:pStyle w:val="BodyText"/>
            </w:pPr>
            <w:r w:rsidRPr="00B472B0">
              <w:t>UEENEEE105A Fix and secure electrotechnology equipment</w:t>
            </w:r>
          </w:p>
          <w:p w:rsidR="00000000" w:rsidRPr="00B472B0" w:rsidP="00B472B0">
            <w:pPr>
              <w:pStyle w:val="BodyText"/>
            </w:pPr>
            <w:r w:rsidRPr="00B472B0">
              <w:t>UEENEEE107A Use drawings, diagrams, schedules, standards, codes and spec</w:t>
            </w:r>
            <w:r w:rsidRPr="00B472B0">
              <w:t>ifications</w:t>
            </w:r>
          </w:p>
          <w:p w:rsidR="00000000" w:rsidRPr="00B472B0" w:rsidP="00B472B0">
            <w:pPr>
              <w:pStyle w:val="BodyText"/>
            </w:pPr>
            <w:r w:rsidRPr="00B472B0">
              <w:t>UEENEEE137A Document and apply measures to control OHS risks associated with electrotechnology work</w:t>
            </w:r>
          </w:p>
          <w:p w:rsidR="00000000" w:rsidRPr="00B472B0" w:rsidP="00B472B0">
            <w:pPr>
              <w:pStyle w:val="BodyText"/>
            </w:pPr>
            <w:r w:rsidRPr="00B472B0">
              <w:t>UEENEEG006A Solve problems in single and three phase low voltage machines</w:t>
            </w:r>
          </w:p>
          <w:p w:rsidR="00000000" w:rsidRPr="00B472B0" w:rsidP="00B472B0">
            <w:pPr>
              <w:pStyle w:val="BodyText"/>
            </w:pPr>
            <w:r w:rsidRPr="00B472B0">
              <w:t>UEENEEG033A Solve problems in single and three phase low voltage electr</w:t>
            </w:r>
            <w:r w:rsidRPr="00B472B0">
              <w:t>ical apparatus and circuits</w:t>
            </w:r>
          </w:p>
          <w:p w:rsidR="00000000" w:rsidRPr="00B472B0" w:rsidP="00B472B0">
            <w:pPr>
              <w:pStyle w:val="BodyText"/>
            </w:pPr>
            <w:r w:rsidRPr="00B472B0">
              <w:t>UEENEEG063A Arrange circuits, control and protection for general electrical installations</w:t>
            </w:r>
          </w:p>
          <w:p w:rsidR="00000000" w:rsidRPr="00B472B0" w:rsidP="00B472B0">
            <w:pPr>
              <w:pStyle w:val="BodyText"/>
            </w:pPr>
            <w:r w:rsidRPr="00B472B0">
              <w:t>UEENEEG076A Install and replace low voltage current transformer metering</w:t>
            </w:r>
          </w:p>
          <w:p w:rsidR="00000000" w:rsidRPr="00B472B0" w:rsidP="00B472B0">
            <w:pPr>
              <w:pStyle w:val="BodyText"/>
            </w:pPr>
            <w:r w:rsidRPr="00B472B0">
              <w:t>UEENEEG101A Solve problems in electromagnetic devices and related circuits</w:t>
            </w:r>
          </w:p>
          <w:p w:rsidR="00000000" w:rsidRPr="00B472B0" w:rsidP="00B472B0">
            <w:pPr>
              <w:pStyle w:val="BodyText"/>
            </w:pPr>
            <w:r w:rsidRPr="00B472B0">
              <w:t>UEENEEG102A Solve problems in low voltage a.c. circuits</w:t>
            </w:r>
          </w:p>
          <w:p w:rsidR="00000000" w:rsidRPr="00B472B0" w:rsidP="00B472B0">
            <w:pPr>
              <w:pStyle w:val="BodyText"/>
            </w:pPr>
            <w:r w:rsidRPr="00B472B0">
              <w:t>UEENEEG103A Install low voltage wiring and accessories</w:t>
            </w:r>
          </w:p>
          <w:p w:rsidR="00000000" w:rsidRPr="00B472B0" w:rsidP="00B472B0">
            <w:pPr>
              <w:pStyle w:val="BodyText"/>
            </w:pPr>
            <w:r w:rsidRPr="00B472B0">
              <w:t xml:space="preserve">UEENEEG104A Install appliances, switchgear and associated accessories </w:t>
            </w:r>
            <w:r w:rsidRPr="00B472B0">
              <w:t xml:space="preserve">for low voltage </w:t>
            </w:r>
            <w:r w:rsidRPr="00B472B0">
              <w:t>electrical installations</w:t>
            </w:r>
          </w:p>
          <w:p w:rsidR="00000000" w:rsidRPr="00B472B0" w:rsidP="00B472B0">
            <w:pPr>
              <w:pStyle w:val="BodyText"/>
            </w:pPr>
            <w:r w:rsidRPr="00B472B0">
              <w:t>UEENEEG105A Verify compliance and functionality of low voltage general electrical installations</w:t>
            </w:r>
          </w:p>
          <w:p w:rsidR="00000000" w:rsidRPr="00B472B0" w:rsidP="00B472B0">
            <w:pPr>
              <w:pStyle w:val="BodyText"/>
            </w:pPr>
            <w:r w:rsidRPr="00B472B0">
              <w:t>UEENEEG106A Terminate cables, cords and accessories for low voltage circuits</w:t>
            </w:r>
          </w:p>
          <w:p w:rsidR="00000000" w:rsidRPr="00B472B0" w:rsidP="00B472B0">
            <w:pPr>
              <w:pStyle w:val="BodyText"/>
            </w:pPr>
            <w:r w:rsidRPr="00B472B0">
              <w:t>UEENEEG107A Select wiring systems and cabl</w:t>
            </w:r>
            <w:r w:rsidRPr="00B472B0">
              <w:t>es for low voltage general electrical installations</w:t>
            </w:r>
          </w:p>
          <w:p w:rsidR="00000000" w:rsidRPr="00B472B0" w:rsidP="00B472B0">
            <w:pPr>
              <w:pStyle w:val="BodyText"/>
            </w:pPr>
            <w:r w:rsidRPr="00B472B0">
              <w:t>UEENEEG108A Trouble-shoot and repair faults in low voltage electrical apparatus and circuits</w:t>
            </w:r>
          </w:p>
          <w:p w:rsidR="00000000" w:rsidRPr="00B472B0" w:rsidP="00B472B0">
            <w:pPr>
              <w:pStyle w:val="BodyText"/>
            </w:pPr>
            <w:r w:rsidRPr="00B472B0">
              <w:t>UEENEEG109A Develop and connect electrical control circuits</w:t>
            </w:r>
          </w:p>
          <w:p w:rsidR="00000000" w:rsidRPr="00B472B0" w:rsidP="00B472B0">
            <w:pPr>
              <w:pStyle w:val="BodyText"/>
            </w:pPr>
            <w:r w:rsidRPr="00B472B0">
              <w:t>UEENEEG171A Install, set up and commission interval</w:t>
            </w:r>
            <w:r w:rsidRPr="00B472B0">
              <w:t xml:space="preserve"> metering</w:t>
            </w:r>
          </w:p>
          <w:p w:rsidR="00000000" w:rsidRPr="00B472B0" w:rsidP="00B472B0">
            <w:pPr>
              <w:pStyle w:val="BodyText"/>
            </w:pPr>
            <w:r w:rsidRPr="00B472B0">
              <w:t>UETDREL001 Apply environmental requirements</w:t>
            </w:r>
          </w:p>
          <w:p w:rsidR="00000000" w:rsidRPr="00B472B0" w:rsidP="00B472B0">
            <w:pPr>
              <w:pStyle w:val="BodyText"/>
            </w:pPr>
            <w:r w:rsidRPr="00B472B0">
              <w:t>UETDREL005 Work safely in the vicinity of live electrical apparatus</w:t>
            </w:r>
          </w:p>
          <w:p w:rsidR="00000000" w:rsidRPr="00B472B0" w:rsidP="00B472B0">
            <w:pPr>
              <w:pStyle w:val="BodyText"/>
            </w:pPr>
            <w:r w:rsidRPr="00B472B0">
              <w:t>UETDRTS022 Perform current injection testing using phantom load</w:t>
            </w:r>
          </w:p>
        </w:tc>
      </w:tr>
    </w:tbl>
    <w:p w:rsidR="00000000" w:rsidRPr="00B472B0" w:rsidP="00B472B0">
      <w:pPr>
        <w:pStyle w:val="NoPaddingFontSize1"/>
      </w:pPr>
    </w:p>
    <w:p w:rsidR="00000000" w:rsidRPr="00B472B0" w:rsidP="00B472B0">
      <w:pPr>
        <w:pStyle w:val="AllowPageBreak"/>
      </w:pPr>
    </w:p>
    <w:p w:rsidR="00000000" w:rsidRPr="00B472B0" w:rsidP="00B472B0">
      <w:pPr>
        <w:pStyle w:val="Heading1"/>
      </w:pPr>
      <w:bookmarkStart w:id="4" w:name="O_1178380"/>
      <w:bookmarkEnd w:id="4"/>
      <w:r w:rsidRPr="00B472B0">
        <w:t>Competency Field</w:t>
      </w:r>
    </w:p>
    <w:tbl>
      <w:tblPr>
        <w:tblW w:w="9497" w:type="dxa"/>
        <w:tblLayout w:type="fixed"/>
        <w:tblCellMar>
          <w:left w:w="62" w:type="dxa"/>
          <w:right w:w="62" w:type="dxa"/>
        </w:tblCellMar>
        <w:tblLook w:val="0000"/>
      </w:tblPr>
      <w:tblGrid>
        <w:gridCol w:w="9497"/>
      </w:tblGrid>
      <w:tr w:rsidTr="00B47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t>Testing</w:t>
            </w:r>
          </w:p>
        </w:tc>
      </w:tr>
    </w:tbl>
    <w:p w:rsidR="00000000" w:rsidRPr="00B472B0" w:rsidP="00B472B0">
      <w:pPr>
        <w:pStyle w:val="NoPaddingFontSize1"/>
      </w:pPr>
    </w:p>
    <w:p w:rsidR="00000000" w:rsidRPr="00B472B0" w:rsidP="00B472B0">
      <w:pPr>
        <w:pStyle w:val="AllowPageBreak"/>
      </w:pPr>
    </w:p>
    <w:p w:rsidR="00000000" w:rsidRPr="00B472B0" w:rsidP="00B472B0">
      <w:pPr>
        <w:pStyle w:val="Heading1"/>
      </w:pPr>
      <w:bookmarkStart w:id="5" w:name="O_1178381"/>
      <w:bookmarkEnd w:id="5"/>
      <w:r w:rsidRPr="00B472B0">
        <w:t>Uni</w:t>
      </w:r>
      <w:r w:rsidRPr="00B472B0">
        <w:t>t Sector</w:t>
      </w:r>
    </w:p>
    <w:tbl>
      <w:tblPr>
        <w:tblW w:w="9497" w:type="dxa"/>
        <w:tblLayout w:type="fixed"/>
        <w:tblCellMar>
          <w:left w:w="62" w:type="dxa"/>
          <w:right w:w="62" w:type="dxa"/>
        </w:tblCellMar>
        <w:tblLook w:val="0000"/>
      </w:tblPr>
      <w:tblGrid>
        <w:gridCol w:w="9497"/>
      </w:tblGrid>
      <w:tr w:rsidTr="00B47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t>Not applicable.</w:t>
            </w:r>
          </w:p>
        </w:tc>
      </w:tr>
    </w:tbl>
    <w:p w:rsidR="00000000" w:rsidRPr="00B472B0" w:rsidP="00B472B0">
      <w:pPr>
        <w:pStyle w:val="NoPaddingFontSize1"/>
      </w:pPr>
    </w:p>
    <w:p w:rsidR="00000000" w:rsidRPr="00B472B0" w:rsidP="00B472B0">
      <w:pPr>
        <w:pStyle w:val="AllowPageBreak"/>
      </w:pPr>
    </w:p>
    <w:p w:rsidR="00000000" w:rsidRPr="00B472B0" w:rsidP="00B472B0">
      <w:pPr>
        <w:pStyle w:val="Heading1"/>
      </w:pPr>
      <w:bookmarkStart w:id="6" w:name="O_1178382"/>
      <w:bookmarkEnd w:id="6"/>
      <w:r w:rsidRPr="00B472B0">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B472B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PERFORMANCE CRITERIA</w:t>
            </w:r>
          </w:p>
        </w:tc>
      </w:tr>
      <w:tr w:rsidTr="00B472B0">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Performance criteria describe the performance needed to demonstrate achievement of the element.</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rPr>
                <w:rStyle w:val="SpecialBold"/>
              </w:rPr>
              <w:t>Plan for the installation and replacement of HV metering and associated equipment</w:t>
            </w: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Work health and safety (WHS)/occupational health and safety (OHS) practices/procedures and environmental and sustainable energy procedures, which may influence the insta</w:t>
            </w:r>
            <w:r w:rsidRPr="00B472B0">
              <w:t>llation and replacement of HV metering and associated equipment, are reviewed and determined</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 xml:space="preserve">Purpose of the installation and replacement of HV metering and associated equipment is established after data is analysed and expected outcomes of the work </w:t>
            </w:r>
            <w:r w:rsidRPr="00B472B0">
              <w:t>are confirmed with appropriate personnel</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Organisational established procedures, policies and specifications for the installation and replacement of HV metering and associated equipment are obtained or established with appropriate personnel</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Installation and replacement of HV metering and associated equipment procedures are discussed with/directed to appropriate personnel in order to ascertain the project brief</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 xml:space="preserve">Installation and replacement parameters are established from organisational </w:t>
            </w:r>
            <w:r w:rsidRPr="00B472B0">
              <w:t>established procedures, policies and specifications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Equipment/tools and personal protective equipment (PPE) are selected based on specified performance criteria and established procedures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Work roles and tasks are allocated according to requir</w:t>
            </w:r>
            <w:r w:rsidRPr="00B472B0">
              <w:t>ements and individual competencies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Work is prioritised and sequenced for the most efficient/effective outcome, completed within an acceptable timeframe to a quality standard and in accordance with established procedures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Liaison and communication issues with others/authorised personnel, authorities, clients, customers are resolved and activities coordinated to carry out work</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Risk control measures are identified, prioritised and evaluated against the work schedule</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Relevant internal and external work permits are obtained to coordinate the performance of work according to requirements and/or established procedures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rPr>
                <w:rStyle w:val="SpecialBold"/>
              </w:rPr>
              <w:t>Carry out the installation and replacement of HV metering and associated equipment</w:t>
            </w: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WHS/OHS and sustainable energy principles, functionality and practices to prevent accidents and minimise waste are incorporated into the project in accordance with requirements and/or established procedures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Installation and replacement of HV metering and associated equipment decisions are made on the basis of safety and effective outcomes according to requirements and/or established procedures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Technical advice is given regarding potential hazards, safe</w:t>
            </w:r>
            <w:r w:rsidRPr="00B472B0">
              <w:t>ty risks and control measures so that monitoring and preventative action can be undertaken and/or appropriate authorities consulted, where necessary, in accordance with requirements and established procedures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Essential knowledge and associated skill</w:t>
            </w:r>
            <w:r w:rsidRPr="00B472B0">
              <w:t>s are applied to analyse specific data and compare it with compliance specifications to ensure completion of the project within an agreed timeframe according to requirements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Installation and replacement of HV metering and associated equipment is und</w:t>
            </w:r>
            <w:r w:rsidRPr="00B472B0">
              <w:t>ertaken according to requirements and established procedures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Work teams/groups are arranged/coordinated/evaluated to ensure planned goals are met according to established procedures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Solutions to non-routine problems are identified and actioned, using essential knowledge and associated skills, according to requirements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Quality of work is monitored against personal performance agreement and/or established organisational and prof</w:t>
            </w:r>
            <w:r w:rsidRPr="00B472B0">
              <w:t>essional standards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rPr>
                <w:rStyle w:val="SpecialBold"/>
              </w:rPr>
              <w:t>Complete the installation and replacement of HV metering and associated equipment</w:t>
            </w: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Final inspections of the installation and replacement of HV metering and associated equipment are undertaken to ensure they comply with all requirem</w:t>
            </w:r>
            <w:r w:rsidRPr="00B472B0">
              <w:t>ents and include all specifications and documents needed to complete the project</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 xml:space="preserve">Appropriate internal/external personnel are notified of completion and reports and/or completion documents are finalised/commissioned according </w:t>
            </w:r>
            <w:r w:rsidRPr="00B472B0">
              <w:t>to established procedures and timeframes</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t>Reports and/or completion documents are submitted to relevant personnel/organisations for approval and, where applicable, statutory or regulatory approval</w:t>
            </w:r>
          </w:p>
        </w:tc>
      </w:tr>
      <w:tr w:rsidTr="00B472B0">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472B0">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472B0">
            <w:pPr>
              <w:pStyle w:val="BodyText"/>
              <w:rPr>
                <w:lang w:val="en-NZ"/>
              </w:rPr>
            </w:pPr>
            <w:r w:rsidRPr="00B472B0">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t>Approved copies of the installation and replac</w:t>
            </w:r>
            <w:r w:rsidRPr="00B472B0">
              <w:t>ement of high voltage metering and associated equipment documents are issued and records are updated in accordance with established procedures</w:t>
            </w:r>
          </w:p>
        </w:tc>
      </w:tr>
    </w:tbl>
    <w:p w:rsidR="00000000" w:rsidRPr="00B472B0" w:rsidP="00B472B0">
      <w:pPr>
        <w:pStyle w:val="NoPaddingFontSize1"/>
      </w:pPr>
    </w:p>
    <w:p w:rsidR="00000000" w:rsidRPr="00B472B0" w:rsidP="00B472B0">
      <w:pPr>
        <w:pStyle w:val="AllowPageBreak"/>
      </w:pPr>
    </w:p>
    <w:p w:rsidR="00000000" w:rsidRPr="00B472B0" w:rsidP="00B472B0">
      <w:pPr>
        <w:pStyle w:val="Heading1"/>
      </w:pPr>
      <w:bookmarkStart w:id="7" w:name="O_1178383"/>
      <w:bookmarkEnd w:id="7"/>
      <w:r w:rsidRPr="00B472B0">
        <w:t>Foundation Skills</w:t>
      </w:r>
    </w:p>
    <w:tbl>
      <w:tblPr>
        <w:tblW w:w="9497" w:type="dxa"/>
        <w:tblLayout w:type="fixed"/>
        <w:tblCellMar>
          <w:left w:w="62" w:type="dxa"/>
          <w:right w:w="62" w:type="dxa"/>
        </w:tblCellMar>
        <w:tblLook w:val="0000"/>
      </w:tblPr>
      <w:tblGrid>
        <w:gridCol w:w="9497"/>
      </w:tblGrid>
      <w:tr w:rsidTr="00B47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t>Foundation skills essential to performance are explicit in the performance</w:t>
            </w:r>
            <w:r w:rsidRPr="00B472B0">
              <w:t xml:space="preserve"> criteria of this unit of competency.</w:t>
            </w:r>
          </w:p>
        </w:tc>
      </w:tr>
    </w:tbl>
    <w:p w:rsidR="00000000" w:rsidRPr="00B472B0" w:rsidP="00B472B0">
      <w:pPr>
        <w:pStyle w:val="NoPaddingFontSize1"/>
      </w:pPr>
    </w:p>
    <w:p w:rsidR="00000000" w:rsidRPr="00B472B0" w:rsidP="00B472B0">
      <w:pPr>
        <w:pStyle w:val="AllowPageBreak"/>
      </w:pPr>
    </w:p>
    <w:p w:rsidR="00000000" w:rsidRPr="00B472B0" w:rsidP="00B472B0">
      <w:pPr>
        <w:pStyle w:val="Heading1"/>
      </w:pPr>
      <w:bookmarkStart w:id="8" w:name="O_1178384"/>
      <w:bookmarkEnd w:id="8"/>
      <w:r w:rsidRPr="00B472B0">
        <w:t>Range of Conditions</w:t>
      </w:r>
    </w:p>
    <w:tbl>
      <w:tblPr>
        <w:tblW w:w="9497" w:type="dxa"/>
        <w:tblLayout w:type="fixed"/>
        <w:tblCellMar>
          <w:left w:w="62" w:type="dxa"/>
          <w:right w:w="62" w:type="dxa"/>
        </w:tblCellMar>
        <w:tblLook w:val="0000"/>
      </w:tblPr>
      <w:tblGrid>
        <w:gridCol w:w="9497"/>
      </w:tblGrid>
      <w:tr w:rsidTr="00B47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t>Range is restricted to essential operating conditions and any other variables essential to the work environment.</w:t>
            </w:r>
          </w:p>
          <w:p w:rsidR="00000000" w:rsidRPr="00B472B0" w:rsidP="00B472B0">
            <w:pPr>
              <w:pStyle w:val="BodyText"/>
            </w:pPr>
            <w:r w:rsidRPr="00B472B0">
              <w:t>Non-essential conditions may be found in the UET Transmission, Distribution and Rail Sector Training Package Companion Volume Implementation Guide.</w:t>
            </w:r>
          </w:p>
        </w:tc>
      </w:tr>
    </w:tbl>
    <w:p w:rsidR="00000000" w:rsidRPr="00B472B0" w:rsidP="00B472B0">
      <w:pPr>
        <w:pStyle w:val="NoPaddingFontSize1"/>
      </w:pPr>
    </w:p>
    <w:p w:rsidR="00000000" w:rsidRPr="00B472B0" w:rsidP="00B472B0">
      <w:pPr>
        <w:pStyle w:val="AllowPageBreak"/>
      </w:pPr>
    </w:p>
    <w:p w:rsidR="00000000" w:rsidRPr="00B472B0" w:rsidP="00B472B0">
      <w:pPr>
        <w:pStyle w:val="Heading1"/>
      </w:pPr>
      <w:bookmarkStart w:id="9" w:name="O_1178385"/>
      <w:bookmarkEnd w:id="9"/>
      <w:r w:rsidRPr="00B472B0">
        <w:t>Unit Mapping Information</w:t>
      </w:r>
    </w:p>
    <w:tbl>
      <w:tblPr>
        <w:tblW w:w="9497" w:type="dxa"/>
        <w:tblLayout w:type="fixed"/>
        <w:tblCellMar>
          <w:left w:w="62" w:type="dxa"/>
          <w:right w:w="62" w:type="dxa"/>
        </w:tblCellMar>
        <w:tblLook w:val="0000"/>
      </w:tblPr>
      <w:tblGrid>
        <w:gridCol w:w="9497"/>
      </w:tblGrid>
      <w:tr w:rsidTr="00B472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472B0" w:rsidP="00B472B0">
            <w:pPr>
              <w:pStyle w:val="BodyText"/>
            </w:pPr>
            <w:r w:rsidRPr="00B472B0">
              <w:t>This unit replaces and is equivalent to UETTDRTS38 Install and</w:t>
            </w:r>
            <w:r w:rsidRPr="00B472B0">
              <w:t xml:space="preserve"> replace high voltage metering and associated equipment.</w:t>
            </w:r>
          </w:p>
        </w:tc>
      </w:tr>
    </w:tbl>
    <w:p w:rsidR="00000000" w:rsidRPr="00B472B0" w:rsidP="00B472B0">
      <w:pPr>
        <w:pStyle w:val="NoPaddingFontSize1"/>
      </w:pPr>
    </w:p>
    <w:p w:rsidR="00000000" w:rsidRPr="00B472B0" w:rsidP="00B472B0">
      <w:pPr>
        <w:pStyle w:val="AllowPageBreak"/>
      </w:pPr>
    </w:p>
    <w:p w:rsidR="00000000" w:rsidRPr="00B472B0" w:rsidP="00B472B0">
      <w:pPr>
        <w:pStyle w:val="Heading1"/>
      </w:pPr>
      <w:bookmarkStart w:id="10" w:name="O_1178392"/>
      <w:bookmarkEnd w:id="10"/>
      <w:r w:rsidRPr="00B472B0">
        <w:t>Links</w:t>
      </w:r>
    </w:p>
    <w:p w:rsidR="00000000" w:rsidRPr="00B472B0" w:rsidP="00A706CF">
      <w:pPr>
        <w:pStyle w:val="BodyText"/>
      </w:pPr>
      <w:r w:rsidRPr="00B472B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075CF">
        <w:rPr>
          <w:rStyle w:val="Hyperlink"/>
        </w:rPr>
        <w:t>https://vetnet.gov.au/Pages/TrainingDocs.aspx?q=229bace1-b7bc-4653-9300-dffb13ecfad7</w:t>
      </w:r>
      <w:r>
        <w:fldChar w:fldCharType="end"/>
      </w:r>
    </w:p>
    <w:p w:rsidR="00000000" w:rsidRPr="00B472B0" w:rsidP="00B472B0"/>
    <w:sectPr w:rsidSect="00B472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0" w:rsidRPr="00A706CF" w:rsidP="00A706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CF" w:rsidP="00B47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06CF" w:rsidP="00B472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706CF" w:rsidP="00B472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2B0" w:rsidRPr="00A706CF" w:rsidP="00A706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CF" w:rsidRPr="002D2AF8" w:rsidP="00B472B0">
    <w:pPr>
      <w:pStyle w:val="Header"/>
      <w:framePr w:wrap="around"/>
    </w:pPr>
    <w:r>
      <w:fldChar w:fldCharType="begin"/>
    </w:r>
    <w:r>
      <w:instrText xml:space="preserve"> TITLE   \* MERGEFORMAT </w:instrText>
    </w:r>
    <w:r>
      <w:fldChar w:fldCharType="separate"/>
    </w:r>
    <w:r>
      <w:t>UETDRTS013 Install and replace high voltage metering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706CF" w:rsidP="00B472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2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2B0"/>
    <w:pPr>
      <w:spacing w:before="360" w:after="60"/>
      <w:outlineLvl w:val="0"/>
    </w:pPr>
    <w:rPr>
      <w:sz w:val="32"/>
    </w:rPr>
  </w:style>
  <w:style w:type="paragraph" w:styleId="Heading2">
    <w:name w:val="heading 2"/>
    <w:basedOn w:val="HeadingBase"/>
    <w:next w:val="BodyText"/>
    <w:link w:val="Heading2Char"/>
    <w:qFormat/>
    <w:rsid w:val="00B472B0"/>
    <w:pPr>
      <w:keepLines/>
      <w:spacing w:before="240" w:after="120"/>
      <w:outlineLvl w:val="1"/>
    </w:pPr>
    <w:rPr>
      <w:sz w:val="28"/>
      <w:szCs w:val="40"/>
    </w:rPr>
  </w:style>
  <w:style w:type="paragraph" w:styleId="Heading3">
    <w:name w:val="heading 3"/>
    <w:basedOn w:val="HeadingBase"/>
    <w:next w:val="BodyText"/>
    <w:link w:val="Heading3Char"/>
    <w:qFormat/>
    <w:rsid w:val="00B472B0"/>
    <w:pPr>
      <w:spacing w:before="180" w:after="120"/>
      <w:outlineLvl w:val="2"/>
    </w:pPr>
    <w:rPr>
      <w:spacing w:val="-10"/>
      <w:kern w:val="32"/>
    </w:rPr>
  </w:style>
  <w:style w:type="paragraph" w:styleId="Heading4">
    <w:name w:val="heading 4"/>
    <w:basedOn w:val="HeadingBase"/>
    <w:next w:val="BodyText"/>
    <w:link w:val="Heading4Char"/>
    <w:qFormat/>
    <w:rsid w:val="00B472B0"/>
    <w:pPr>
      <w:spacing w:before="160" w:after="120"/>
      <w:outlineLvl w:val="3"/>
    </w:pPr>
    <w:rPr>
      <w:sz w:val="22"/>
    </w:rPr>
  </w:style>
  <w:style w:type="paragraph" w:styleId="Heading5">
    <w:name w:val="heading 5"/>
    <w:basedOn w:val="HeadingBase"/>
    <w:next w:val="Normal"/>
    <w:link w:val="Heading5Char"/>
    <w:qFormat/>
    <w:rsid w:val="00B472B0"/>
    <w:pPr>
      <w:spacing w:before="80"/>
      <w:outlineLvl w:val="4"/>
    </w:pPr>
    <w:rPr>
      <w:color w:val="918585"/>
      <w:sz w:val="20"/>
    </w:rPr>
  </w:style>
  <w:style w:type="paragraph" w:styleId="Heading6">
    <w:name w:val="heading 6"/>
    <w:basedOn w:val="HeadingBase"/>
    <w:next w:val="Normal"/>
    <w:link w:val="Heading6Char"/>
    <w:qFormat/>
    <w:rsid w:val="00B472B0"/>
    <w:pPr>
      <w:spacing w:before="60"/>
      <w:outlineLvl w:val="5"/>
    </w:pPr>
    <w:rPr>
      <w:color w:val="918585"/>
      <w:sz w:val="20"/>
    </w:rPr>
  </w:style>
  <w:style w:type="paragraph" w:styleId="Heading7">
    <w:name w:val="heading 7"/>
    <w:basedOn w:val="Normal"/>
    <w:next w:val="Normal"/>
    <w:link w:val="Heading7Char"/>
    <w:qFormat/>
    <w:rsid w:val="00B472B0"/>
    <w:pPr>
      <w:ind w:left="720"/>
      <w:outlineLvl w:val="6"/>
    </w:pPr>
    <w:rPr>
      <w:i/>
    </w:rPr>
  </w:style>
  <w:style w:type="paragraph" w:styleId="Heading8">
    <w:name w:val="heading 8"/>
    <w:basedOn w:val="Normal"/>
    <w:next w:val="Normal"/>
    <w:link w:val="Heading8Char"/>
    <w:qFormat/>
    <w:rsid w:val="00B472B0"/>
    <w:pPr>
      <w:ind w:left="720"/>
      <w:outlineLvl w:val="7"/>
    </w:pPr>
    <w:rPr>
      <w:i/>
    </w:rPr>
  </w:style>
  <w:style w:type="paragraph" w:styleId="Heading9">
    <w:name w:val="heading 9"/>
    <w:basedOn w:val="Normal"/>
    <w:next w:val="Normal"/>
    <w:link w:val="Heading9Char"/>
    <w:qFormat/>
    <w:rsid w:val="00B472B0"/>
    <w:pPr>
      <w:ind w:left="720"/>
      <w:outlineLvl w:val="8"/>
    </w:pPr>
    <w:rPr>
      <w:i/>
    </w:rPr>
  </w:style>
  <w:style w:type="character" w:default="1" w:styleId="DefaultParagraphFont">
    <w:name w:val="Default Paragraph Font"/>
    <w:uiPriority w:val="1"/>
    <w:unhideWhenUsed/>
    <w:rsid w:val="00B47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2B0"/>
  </w:style>
  <w:style w:type="character" w:customStyle="1" w:styleId="Heading1Char">
    <w:name w:val="Heading 1 Char"/>
    <w:basedOn w:val="DefaultParagraphFont"/>
    <w:link w:val="Heading1"/>
    <w:rsid w:val="00B472B0"/>
    <w:rPr>
      <w:rFonts w:ascii="Times New Roman" w:eastAsia="Times New Roman" w:hAnsi="Times New Roman" w:cs="Times New Roman"/>
      <w:b/>
      <w:sz w:val="32"/>
      <w:szCs w:val="20"/>
      <w:lang w:eastAsia="en-US"/>
    </w:rPr>
  </w:style>
  <w:style w:type="paragraph" w:styleId="BodyText">
    <w:name w:val="Body Text"/>
    <w:basedOn w:val="Normal"/>
    <w:link w:val="BodyTextChar"/>
    <w:rsid w:val="00B472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2B0"/>
    <w:rPr>
      <w:rFonts w:ascii="Times New Roman" w:eastAsia="Times New Roman" w:hAnsi="Times New Roman" w:cs="Times New Roman"/>
      <w:sz w:val="24"/>
      <w:lang w:eastAsia="en-US"/>
    </w:rPr>
  </w:style>
  <w:style w:type="character" w:customStyle="1" w:styleId="SpecialBold">
    <w:name w:val="Special Bold"/>
    <w:basedOn w:val="DefaultParagraphFont"/>
    <w:rsid w:val="00B472B0"/>
    <w:rPr>
      <w:b/>
      <w:spacing w:val="0"/>
    </w:rPr>
  </w:style>
  <w:style w:type="paragraph" w:customStyle="1" w:styleId="SuperHeading">
    <w:name w:val="SuperHeading"/>
    <w:basedOn w:val="Normal"/>
    <w:rsid w:val="00B472B0"/>
    <w:pPr>
      <w:spacing w:before="240" w:after="120"/>
      <w:outlineLvl w:val="0"/>
    </w:pPr>
    <w:rPr>
      <w:rFonts w:ascii="Times New Roman" w:hAnsi="Times New Roman"/>
      <w:b/>
      <w:sz w:val="32"/>
    </w:rPr>
  </w:style>
  <w:style w:type="paragraph" w:customStyle="1" w:styleId="AllowPageBreak">
    <w:name w:val="AllowPageBreak"/>
    <w:rsid w:val="00B472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47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2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2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2B0"/>
    <w:rPr>
      <w:rFonts w:ascii="Courier New" w:eastAsia="Times New Roman" w:hAnsi="Courier New" w:cs="Times New Roman"/>
      <w:i/>
      <w:szCs w:val="20"/>
      <w:lang w:eastAsia="en-US"/>
    </w:rPr>
  </w:style>
  <w:style w:type="paragraph" w:customStyle="1" w:styleId="HeadingBase">
    <w:name w:val="Heading Base"/>
    <w:rsid w:val="00B47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2B0"/>
    <w:pPr>
      <w:tabs>
        <w:tab w:val="right" w:leader="dot" w:pos="9072"/>
      </w:tabs>
      <w:ind w:left="567"/>
    </w:pPr>
    <w:rPr>
      <w:szCs w:val="22"/>
    </w:rPr>
  </w:style>
  <w:style w:type="paragraph" w:customStyle="1" w:styleId="TOCBase">
    <w:name w:val="TOC Base"/>
    <w:rsid w:val="00B47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2B0"/>
    <w:pPr>
      <w:tabs>
        <w:tab w:val="right" w:leader="dot" w:pos="9072"/>
      </w:tabs>
      <w:spacing w:before="40" w:after="40"/>
      <w:ind w:left="284"/>
    </w:pPr>
    <w:rPr>
      <w:rFonts w:ascii="Times New Roman" w:hAnsi="Times New Roman"/>
    </w:rPr>
  </w:style>
  <w:style w:type="paragraph" w:styleId="TOC1">
    <w:name w:val="toc 1"/>
    <w:basedOn w:val="TOCBase"/>
    <w:next w:val="Normal"/>
    <w:rsid w:val="00B472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2B0"/>
    <w:rPr>
      <w:rFonts w:ascii="Times New Roman" w:eastAsia="Times New Roman" w:hAnsi="Times New Roman" w:cs="Times New Roman"/>
      <w:sz w:val="16"/>
      <w:lang w:eastAsia="en-US"/>
    </w:rPr>
  </w:style>
  <w:style w:type="paragraph" w:styleId="Title">
    <w:name w:val="Title"/>
    <w:basedOn w:val="HeadingBase"/>
    <w:link w:val="TitleChar"/>
    <w:qFormat/>
    <w:rsid w:val="00B472B0"/>
    <w:pPr>
      <w:spacing w:before="5040"/>
      <w:jc w:val="center"/>
    </w:pPr>
    <w:rPr>
      <w:sz w:val="48"/>
      <w:szCs w:val="72"/>
      <w:lang w:val="en-US"/>
    </w:rPr>
  </w:style>
  <w:style w:type="character" w:customStyle="1" w:styleId="TitleChar">
    <w:name w:val="Title Char"/>
    <w:basedOn w:val="DefaultParagraphFont"/>
    <w:link w:val="Title"/>
    <w:rsid w:val="00B47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2B0"/>
    <w:pPr>
      <w:tabs>
        <w:tab w:val="left" w:pos="3600"/>
        <w:tab w:val="left" w:pos="3958"/>
      </w:tabs>
    </w:pPr>
  </w:style>
  <w:style w:type="paragraph" w:styleId="List">
    <w:name w:val="List"/>
    <w:basedOn w:val="BodyText"/>
    <w:next w:val="BodyText"/>
    <w:rsid w:val="00B472B0"/>
    <w:pPr>
      <w:tabs>
        <w:tab w:val="left" w:pos="340"/>
      </w:tabs>
      <w:spacing w:before="60" w:after="60"/>
      <w:ind w:left="340" w:hanging="340"/>
    </w:pPr>
  </w:style>
  <w:style w:type="paragraph" w:styleId="ListBullet">
    <w:name w:val="List Bullet"/>
    <w:basedOn w:val="List"/>
    <w:rsid w:val="00B472B0"/>
    <w:pPr>
      <w:numPr>
        <w:numId w:val="10"/>
      </w:numPr>
      <w:tabs>
        <w:tab w:val="clear" w:pos="340"/>
      </w:tabs>
      <w:spacing w:before="40" w:after="40"/>
    </w:pPr>
  </w:style>
  <w:style w:type="paragraph" w:customStyle="1" w:styleId="Note">
    <w:name w:val="Note"/>
    <w:basedOn w:val="BodyText"/>
    <w:rsid w:val="00B47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2B0"/>
    <w:pPr>
      <w:framePr w:wrap="auto" w:hAnchor="text" w:y="6049"/>
    </w:pPr>
    <w:rPr>
      <w:color w:val="000000"/>
      <w:sz w:val="40"/>
    </w:rPr>
  </w:style>
  <w:style w:type="paragraph" w:customStyle="1" w:styleId="TOCTitle">
    <w:name w:val="TOCTitle"/>
    <w:basedOn w:val="Heading1"/>
    <w:rsid w:val="00B472B0"/>
    <w:pPr>
      <w:spacing w:after="240"/>
      <w:jc w:val="center"/>
      <w:outlineLvl w:val="9"/>
    </w:pPr>
    <w:rPr>
      <w:caps/>
    </w:rPr>
  </w:style>
  <w:style w:type="paragraph" w:customStyle="1" w:styleId="Version">
    <w:name w:val="Version"/>
    <w:rsid w:val="00B472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72B0"/>
    <w:pPr>
      <w:numPr>
        <w:numId w:val="11"/>
      </w:numPr>
      <w:tabs>
        <w:tab w:val="clear" w:pos="680"/>
      </w:tabs>
    </w:pPr>
  </w:style>
  <w:style w:type="paragraph" w:styleId="Index1">
    <w:name w:val="index 1"/>
    <w:basedOn w:val="Normal"/>
    <w:next w:val="Normal"/>
    <w:semiHidden/>
    <w:rsid w:val="00B472B0"/>
    <w:pPr>
      <w:keepNext w:val="0"/>
      <w:tabs>
        <w:tab w:val="right" w:pos="4176"/>
      </w:tabs>
      <w:ind w:left="198" w:hanging="198"/>
    </w:pPr>
    <w:rPr>
      <w:rFonts w:ascii="Garamond" w:hAnsi="Garamond"/>
    </w:rPr>
  </w:style>
  <w:style w:type="paragraph" w:styleId="IndexHeading">
    <w:name w:val="index heading"/>
    <w:basedOn w:val="Normal"/>
    <w:next w:val="Index1"/>
    <w:semiHidden/>
    <w:rsid w:val="00B472B0"/>
    <w:pPr>
      <w:spacing w:before="120" w:after="120"/>
    </w:pPr>
    <w:rPr>
      <w:rFonts w:ascii="Arial" w:hAnsi="Arial"/>
      <w:b/>
      <w:color w:val="918585"/>
      <w:sz w:val="24"/>
    </w:rPr>
  </w:style>
  <w:style w:type="paragraph" w:styleId="Header">
    <w:name w:val="header"/>
    <w:basedOn w:val="Normal"/>
    <w:link w:val="HeaderChar"/>
    <w:rsid w:val="00B47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2B0"/>
    <w:rPr>
      <w:rFonts w:ascii="Times New Roman" w:eastAsia="Times New Roman" w:hAnsi="Times New Roman" w:cs="Times New Roman"/>
      <w:sz w:val="16"/>
      <w:szCs w:val="20"/>
      <w:lang w:val="en-GB" w:eastAsia="en-US"/>
    </w:rPr>
  </w:style>
  <w:style w:type="paragraph" w:customStyle="1" w:styleId="Chapter">
    <w:name w:val="Chapter"/>
    <w:basedOn w:val="Normal"/>
    <w:rsid w:val="00B472B0"/>
    <w:pPr>
      <w:spacing w:before="240"/>
    </w:pPr>
    <w:rPr>
      <w:rFonts w:ascii="Times New Roman" w:hAnsi="Times New Roman"/>
      <w:smallCaps/>
      <w:spacing w:val="80"/>
      <w:sz w:val="28"/>
    </w:rPr>
  </w:style>
  <w:style w:type="paragraph" w:customStyle="1" w:styleId="InChapter">
    <w:name w:val="InChapter"/>
    <w:basedOn w:val="Heading3"/>
    <w:rsid w:val="00B472B0"/>
    <w:pPr>
      <w:spacing w:after="240"/>
      <w:outlineLvl w:val="9"/>
    </w:pPr>
    <w:rPr>
      <w:noProof/>
    </w:rPr>
  </w:style>
  <w:style w:type="paragraph" w:styleId="Index2">
    <w:name w:val="index 2"/>
    <w:basedOn w:val="Normal"/>
    <w:next w:val="Normal"/>
    <w:semiHidden/>
    <w:rsid w:val="00B472B0"/>
    <w:pPr>
      <w:tabs>
        <w:tab w:val="right" w:pos="4176"/>
      </w:tabs>
      <w:ind w:left="568" w:hanging="284"/>
    </w:pPr>
    <w:rPr>
      <w:rFonts w:ascii="Garamond" w:hAnsi="Garamond"/>
    </w:rPr>
  </w:style>
  <w:style w:type="paragraph" w:customStyle="1" w:styleId="Byline">
    <w:name w:val="Byline"/>
    <w:rsid w:val="00B47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2B0"/>
    <w:pPr>
      <w:tabs>
        <w:tab w:val="clear" w:pos="3600"/>
        <w:tab w:val="clear" w:pos="3958"/>
      </w:tabs>
      <w:jc w:val="right"/>
    </w:pPr>
  </w:style>
  <w:style w:type="character" w:styleId="Emphasis">
    <w:name w:val="Emphasis"/>
    <w:basedOn w:val="DefaultParagraphFont"/>
    <w:qFormat/>
    <w:rsid w:val="00B472B0"/>
    <w:rPr>
      <w:i/>
    </w:rPr>
  </w:style>
  <w:style w:type="paragraph" w:styleId="Caption">
    <w:name w:val="caption"/>
    <w:basedOn w:val="BodyText"/>
    <w:next w:val="Normal"/>
    <w:qFormat/>
    <w:rsid w:val="00B472B0"/>
    <w:pPr>
      <w:framePr w:w="2268" w:hSpace="181" w:vSpace="181" w:wrap="around" w:vAnchor="text" w:hAnchor="page" w:x="1135" w:y="285" w:anchorLock="1"/>
    </w:pPr>
    <w:rPr>
      <w:i/>
    </w:rPr>
  </w:style>
  <w:style w:type="paragraph" w:customStyle="1" w:styleId="MiniTOCTitle">
    <w:name w:val="MiniTOCTitle"/>
    <w:basedOn w:val="Heading4"/>
    <w:rsid w:val="00B472B0"/>
    <w:pPr>
      <w:spacing w:before="240"/>
      <w:outlineLvl w:val="9"/>
    </w:pPr>
    <w:rPr>
      <w:noProof/>
      <w:sz w:val="24"/>
    </w:rPr>
  </w:style>
  <w:style w:type="paragraph" w:customStyle="1" w:styleId="MiniTOCItem">
    <w:name w:val="MiniTOCItem"/>
    <w:basedOn w:val="ListBullet"/>
    <w:rsid w:val="00B472B0"/>
    <w:pPr>
      <w:numPr>
        <w:numId w:val="0"/>
      </w:numPr>
      <w:tabs>
        <w:tab w:val="right" w:leader="dot" w:pos="6521"/>
      </w:tabs>
      <w:spacing w:before="0" w:after="0"/>
    </w:pPr>
  </w:style>
  <w:style w:type="paragraph" w:customStyle="1" w:styleId="TOFTitle">
    <w:name w:val="TOFTitle"/>
    <w:basedOn w:val="TOCTitle"/>
    <w:rsid w:val="00B472B0"/>
  </w:style>
  <w:style w:type="paragraph" w:styleId="TableofFigures">
    <w:name w:val="table of figures"/>
    <w:basedOn w:val="Normal"/>
    <w:next w:val="Normal"/>
    <w:semiHidden/>
    <w:rsid w:val="00B472B0"/>
    <w:pPr>
      <w:tabs>
        <w:tab w:val="right" w:leader="dot" w:pos="9072"/>
      </w:tabs>
      <w:ind w:left="970" w:hanging="403"/>
    </w:pPr>
    <w:rPr>
      <w:rFonts w:ascii="Times New Roman" w:hAnsi="Times New Roman"/>
      <w:b/>
    </w:rPr>
  </w:style>
  <w:style w:type="paragraph" w:styleId="ListNumber">
    <w:name w:val="List Number"/>
    <w:basedOn w:val="List"/>
    <w:rsid w:val="00B472B0"/>
    <w:pPr>
      <w:numPr>
        <w:numId w:val="13"/>
      </w:numPr>
      <w:tabs>
        <w:tab w:val="clear" w:pos="340"/>
      </w:tabs>
    </w:pPr>
  </w:style>
  <w:style w:type="character" w:customStyle="1" w:styleId="WingdingSymbols">
    <w:name w:val="Wingding Symbols"/>
    <w:rsid w:val="00B472B0"/>
    <w:rPr>
      <w:rFonts w:ascii="Wingdings" w:hAnsi="Wingdings"/>
    </w:rPr>
  </w:style>
  <w:style w:type="paragraph" w:customStyle="1" w:styleId="TableHeading">
    <w:name w:val="Table Heading"/>
    <w:basedOn w:val="HeadingBase"/>
    <w:rsid w:val="00B472B0"/>
    <w:pPr>
      <w:keepLines/>
      <w:pBdr>
        <w:bottom w:val="single" w:sz="6" w:space="1" w:color="918585"/>
      </w:pBdr>
      <w:spacing w:before="240"/>
    </w:pPr>
  </w:style>
  <w:style w:type="character" w:customStyle="1" w:styleId="HotSpot">
    <w:name w:val="HotSpot"/>
    <w:rsid w:val="00B472B0"/>
    <w:rPr>
      <w:color w:val="0033CC"/>
      <w:u w:val="none"/>
    </w:rPr>
  </w:style>
  <w:style w:type="paragraph" w:customStyle="1" w:styleId="BodyTextRight">
    <w:name w:val="Body Text Right"/>
    <w:basedOn w:val="BodyText"/>
    <w:rsid w:val="00B472B0"/>
    <w:pPr>
      <w:spacing w:before="0" w:after="0"/>
      <w:jc w:val="right"/>
    </w:pPr>
  </w:style>
  <w:style w:type="paragraph" w:styleId="Index3">
    <w:name w:val="index 3"/>
    <w:basedOn w:val="ListNumber2"/>
    <w:next w:val="Normal"/>
    <w:semiHidden/>
    <w:rsid w:val="00B472B0"/>
    <w:pPr>
      <w:numPr>
        <w:numId w:val="0"/>
      </w:numPr>
      <w:tabs>
        <w:tab w:val="right" w:leader="dot" w:pos="4176"/>
      </w:tabs>
    </w:pPr>
  </w:style>
  <w:style w:type="paragraph" w:styleId="ListNumber2">
    <w:name w:val="List Number 2"/>
    <w:basedOn w:val="List2"/>
    <w:rsid w:val="00B472B0"/>
    <w:pPr>
      <w:numPr>
        <w:numId w:val="8"/>
      </w:numPr>
      <w:tabs>
        <w:tab w:val="clear" w:pos="1060"/>
      </w:tabs>
    </w:pPr>
  </w:style>
  <w:style w:type="paragraph" w:customStyle="1" w:styleId="MarginNote">
    <w:name w:val="Margin Note"/>
    <w:basedOn w:val="BodyText"/>
    <w:rsid w:val="00B47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2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2B0"/>
    <w:rPr>
      <w:sz w:val="32"/>
    </w:rPr>
  </w:style>
  <w:style w:type="paragraph" w:customStyle="1" w:styleId="HeadingProcedure">
    <w:name w:val="Heading Procedure"/>
    <w:basedOn w:val="HeadingBase"/>
    <w:next w:val="Normal"/>
    <w:rsid w:val="00B472B0"/>
    <w:pPr>
      <w:tabs>
        <w:tab w:val="left" w:pos="0"/>
      </w:tabs>
      <w:spacing w:before="120" w:after="60"/>
    </w:pPr>
    <w:rPr>
      <w:i/>
      <w:color w:val="918585"/>
      <w:sz w:val="22"/>
    </w:rPr>
  </w:style>
  <w:style w:type="paragraph" w:customStyle="1" w:styleId="TableBodyText">
    <w:name w:val="Table Body Text"/>
    <w:basedOn w:val="BodyText"/>
    <w:rsid w:val="00B472B0"/>
    <w:pPr>
      <w:spacing w:before="60" w:after="60"/>
    </w:pPr>
  </w:style>
  <w:style w:type="paragraph" w:styleId="ListContinue">
    <w:name w:val="List Continue"/>
    <w:basedOn w:val="List"/>
    <w:rsid w:val="00B472B0"/>
    <w:pPr>
      <w:ind w:firstLine="0"/>
    </w:pPr>
  </w:style>
  <w:style w:type="paragraph" w:customStyle="1" w:styleId="ListNote">
    <w:name w:val="List Note"/>
    <w:basedOn w:val="List"/>
    <w:rsid w:val="00B472B0"/>
    <w:pPr>
      <w:pBdr>
        <w:top w:val="single" w:sz="6" w:space="2" w:color="918585"/>
        <w:bottom w:val="single" w:sz="6" w:space="2" w:color="918585"/>
      </w:pBdr>
      <w:tabs>
        <w:tab w:val="left" w:pos="1021"/>
      </w:tabs>
      <w:ind w:firstLine="0"/>
    </w:pPr>
  </w:style>
  <w:style w:type="paragraph" w:customStyle="1" w:styleId="Warning">
    <w:name w:val="Warning"/>
    <w:basedOn w:val="BodyText"/>
    <w:rsid w:val="00B472B0"/>
    <w:pPr>
      <w:shd w:val="clear" w:color="auto" w:fill="D9D9D9"/>
      <w:tabs>
        <w:tab w:val="left" w:pos="992"/>
      </w:tabs>
      <w:ind w:left="119" w:right="119"/>
    </w:pPr>
    <w:rPr>
      <w:sz w:val="20"/>
    </w:rPr>
  </w:style>
  <w:style w:type="paragraph" w:customStyle="1" w:styleId="MarginIcons">
    <w:name w:val="Margin Icons"/>
    <w:basedOn w:val="BodyText"/>
    <w:rsid w:val="00B47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2B0"/>
    <w:rPr>
      <w:rFonts w:ascii="Courier New" w:hAnsi="Courier New"/>
    </w:rPr>
  </w:style>
  <w:style w:type="paragraph" w:customStyle="1" w:styleId="NoteBullet">
    <w:name w:val="Note Bullet"/>
    <w:basedOn w:val="Note"/>
    <w:rsid w:val="00B472B0"/>
    <w:pPr>
      <w:tabs>
        <w:tab w:val="clear" w:pos="680"/>
      </w:tabs>
      <w:spacing w:before="60" w:after="60"/>
    </w:pPr>
  </w:style>
  <w:style w:type="paragraph" w:customStyle="1" w:styleId="SubHeading2">
    <w:name w:val="SubHeading2"/>
    <w:basedOn w:val="HeadingBase"/>
    <w:rsid w:val="00B472B0"/>
    <w:pPr>
      <w:spacing w:before="240" w:after="60"/>
    </w:pPr>
    <w:rPr>
      <w:sz w:val="20"/>
    </w:rPr>
  </w:style>
  <w:style w:type="paragraph" w:customStyle="1" w:styleId="SubHeading1">
    <w:name w:val="SubHeading1"/>
    <w:basedOn w:val="HeadingBase"/>
    <w:rsid w:val="00B472B0"/>
    <w:pPr>
      <w:spacing w:before="240" w:after="60"/>
    </w:pPr>
    <w:rPr>
      <w:color w:val="918585"/>
      <w:sz w:val="22"/>
    </w:rPr>
  </w:style>
  <w:style w:type="paragraph" w:customStyle="1" w:styleId="SideHeading">
    <w:name w:val="Side Heading"/>
    <w:basedOn w:val="HeadingBase"/>
    <w:rsid w:val="00B47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2B0"/>
    <w:pPr>
      <w:numPr>
        <w:numId w:val="9"/>
      </w:numPr>
    </w:pPr>
  </w:style>
  <w:style w:type="paragraph" w:styleId="PlainText">
    <w:name w:val="Plain Text"/>
    <w:basedOn w:val="Normal"/>
    <w:link w:val="PlainTextChar"/>
    <w:rsid w:val="00B472B0"/>
    <w:rPr>
      <w:sz w:val="20"/>
    </w:rPr>
  </w:style>
  <w:style w:type="character" w:customStyle="1" w:styleId="PlainTextChar">
    <w:name w:val="Plain Text Char"/>
    <w:basedOn w:val="DefaultParagraphFont"/>
    <w:link w:val="PlainText"/>
    <w:rsid w:val="00B472B0"/>
    <w:rPr>
      <w:rFonts w:ascii="Courier New" w:eastAsia="Times New Roman" w:hAnsi="Courier New" w:cs="Times New Roman"/>
      <w:sz w:val="20"/>
      <w:szCs w:val="20"/>
      <w:lang w:eastAsia="en-US"/>
    </w:rPr>
  </w:style>
  <w:style w:type="character" w:customStyle="1" w:styleId="MenuOption">
    <w:name w:val="Menu Option"/>
    <w:basedOn w:val="DefaultParagraphFont"/>
    <w:rsid w:val="00B472B0"/>
    <w:rPr>
      <w:b/>
      <w:smallCaps/>
    </w:rPr>
  </w:style>
  <w:style w:type="paragraph" w:customStyle="1" w:styleId="TableListNumber">
    <w:name w:val="Table List Number"/>
    <w:basedOn w:val="ListNumber"/>
    <w:rsid w:val="00B472B0"/>
    <w:pPr>
      <w:numPr>
        <w:numId w:val="0"/>
      </w:numPr>
    </w:pPr>
  </w:style>
  <w:style w:type="paragraph" w:styleId="TOC4">
    <w:name w:val="toc 4"/>
    <w:basedOn w:val="TOCBase"/>
    <w:next w:val="Normal"/>
    <w:semiHidden/>
    <w:rsid w:val="00B472B0"/>
    <w:pPr>
      <w:tabs>
        <w:tab w:val="right" w:leader="dot" w:pos="9071"/>
      </w:tabs>
      <w:ind w:left="1701"/>
    </w:pPr>
  </w:style>
  <w:style w:type="paragraph" w:customStyle="1" w:styleId="ListAlpha">
    <w:name w:val="List Alpha"/>
    <w:basedOn w:val="List"/>
    <w:rsid w:val="00B472B0"/>
    <w:pPr>
      <w:numPr>
        <w:numId w:val="7"/>
      </w:numPr>
    </w:pPr>
  </w:style>
  <w:style w:type="paragraph" w:customStyle="1" w:styleId="ListAlpha2">
    <w:name w:val="List Alpha 2"/>
    <w:basedOn w:val="List2"/>
    <w:rsid w:val="00B472B0"/>
    <w:pPr>
      <w:numPr>
        <w:numId w:val="6"/>
      </w:numPr>
    </w:pPr>
  </w:style>
  <w:style w:type="paragraph" w:styleId="List2">
    <w:name w:val="List 2"/>
    <w:basedOn w:val="BodyText"/>
    <w:rsid w:val="00B472B0"/>
    <w:pPr>
      <w:tabs>
        <w:tab w:val="left" w:pos="680"/>
      </w:tabs>
      <w:spacing w:before="60" w:after="60"/>
      <w:ind w:left="680" w:hanging="340"/>
    </w:pPr>
  </w:style>
  <w:style w:type="paragraph" w:styleId="List3">
    <w:name w:val="List 3"/>
    <w:basedOn w:val="BodyText"/>
    <w:rsid w:val="00B472B0"/>
    <w:pPr>
      <w:tabs>
        <w:tab w:val="left" w:pos="1021"/>
      </w:tabs>
      <w:spacing w:before="60" w:after="60"/>
      <w:ind w:left="1020" w:hanging="340"/>
    </w:pPr>
  </w:style>
  <w:style w:type="paragraph" w:styleId="List4">
    <w:name w:val="List 4"/>
    <w:basedOn w:val="BodyText"/>
    <w:rsid w:val="00B472B0"/>
    <w:pPr>
      <w:tabs>
        <w:tab w:val="left" w:pos="1361"/>
      </w:tabs>
      <w:spacing w:before="60" w:after="60"/>
      <w:ind w:left="1361" w:hanging="340"/>
    </w:pPr>
  </w:style>
  <w:style w:type="paragraph" w:styleId="List5">
    <w:name w:val="List 5"/>
    <w:basedOn w:val="BodyText"/>
    <w:rsid w:val="00B472B0"/>
    <w:pPr>
      <w:tabs>
        <w:tab w:val="left" w:pos="1701"/>
      </w:tabs>
      <w:spacing w:before="60" w:after="60"/>
      <w:ind w:left="1701" w:hanging="340"/>
    </w:pPr>
  </w:style>
  <w:style w:type="paragraph" w:styleId="ListBullet3">
    <w:name w:val="List Bullet 3"/>
    <w:basedOn w:val="List3"/>
    <w:rsid w:val="00B472B0"/>
    <w:pPr>
      <w:numPr>
        <w:numId w:val="12"/>
      </w:numPr>
      <w:tabs>
        <w:tab w:val="clear" w:pos="1021"/>
      </w:tabs>
      <w:ind w:left="1037" w:hanging="357"/>
    </w:pPr>
  </w:style>
  <w:style w:type="paragraph" w:styleId="ListBullet4">
    <w:name w:val="List Bullet 4"/>
    <w:basedOn w:val="List4"/>
    <w:rsid w:val="00B472B0"/>
    <w:pPr>
      <w:numPr>
        <w:numId w:val="1"/>
      </w:numPr>
      <w:tabs>
        <w:tab w:val="clear" w:pos="1361"/>
      </w:tabs>
    </w:pPr>
  </w:style>
  <w:style w:type="paragraph" w:styleId="ListBullet5">
    <w:name w:val="List Bullet 5"/>
    <w:basedOn w:val="List5"/>
    <w:rsid w:val="00B472B0"/>
    <w:pPr>
      <w:numPr>
        <w:numId w:val="2"/>
      </w:numPr>
    </w:pPr>
  </w:style>
  <w:style w:type="paragraph" w:styleId="ListContinue2">
    <w:name w:val="List Continue 2"/>
    <w:basedOn w:val="List2"/>
    <w:rsid w:val="00B472B0"/>
    <w:pPr>
      <w:ind w:firstLine="0"/>
    </w:pPr>
  </w:style>
  <w:style w:type="paragraph" w:styleId="ListContinue3">
    <w:name w:val="List Continue 3"/>
    <w:basedOn w:val="List3"/>
    <w:rsid w:val="00B472B0"/>
    <w:pPr>
      <w:ind w:left="1021" w:firstLine="0"/>
    </w:pPr>
  </w:style>
  <w:style w:type="paragraph" w:styleId="ListContinue4">
    <w:name w:val="List Continue 4"/>
    <w:basedOn w:val="List4"/>
    <w:rsid w:val="00B472B0"/>
    <w:pPr>
      <w:ind w:firstLine="0"/>
    </w:pPr>
  </w:style>
  <w:style w:type="paragraph" w:styleId="ListContinue5">
    <w:name w:val="List Continue 5"/>
    <w:basedOn w:val="List5"/>
    <w:rsid w:val="00B472B0"/>
    <w:pPr>
      <w:ind w:firstLine="0"/>
    </w:pPr>
  </w:style>
  <w:style w:type="paragraph" w:styleId="ListNumber3">
    <w:name w:val="List Number 3"/>
    <w:basedOn w:val="List3"/>
    <w:rsid w:val="00B472B0"/>
    <w:pPr>
      <w:numPr>
        <w:numId w:val="3"/>
      </w:numPr>
    </w:pPr>
  </w:style>
  <w:style w:type="paragraph" w:styleId="ListNumber4">
    <w:name w:val="List Number 4"/>
    <w:basedOn w:val="List4"/>
    <w:rsid w:val="00B472B0"/>
    <w:pPr>
      <w:numPr>
        <w:numId w:val="4"/>
      </w:numPr>
    </w:pPr>
  </w:style>
  <w:style w:type="paragraph" w:styleId="ListNumber5">
    <w:name w:val="List Number 5"/>
    <w:basedOn w:val="List5"/>
    <w:rsid w:val="00B472B0"/>
    <w:pPr>
      <w:numPr>
        <w:numId w:val="5"/>
      </w:numPr>
    </w:pPr>
  </w:style>
  <w:style w:type="paragraph" w:styleId="BlockText">
    <w:name w:val="Block Text"/>
    <w:basedOn w:val="Normal"/>
    <w:rsid w:val="00B472B0"/>
    <w:pPr>
      <w:spacing w:after="120"/>
      <w:ind w:left="1440" w:right="1440"/>
    </w:pPr>
  </w:style>
  <w:style w:type="character" w:customStyle="1" w:styleId="Subscript">
    <w:name w:val="Subscript"/>
    <w:basedOn w:val="DefaultParagraphFont"/>
    <w:rsid w:val="00B472B0"/>
    <w:rPr>
      <w:sz w:val="16"/>
      <w:vertAlign w:val="subscript"/>
    </w:rPr>
  </w:style>
  <w:style w:type="character" w:customStyle="1" w:styleId="Superscript">
    <w:name w:val="Superscript"/>
    <w:basedOn w:val="DefaultParagraphFont"/>
    <w:rsid w:val="00B472B0"/>
    <w:rPr>
      <w:sz w:val="16"/>
      <w:vertAlign w:val="superscript"/>
    </w:rPr>
  </w:style>
  <w:style w:type="character" w:customStyle="1" w:styleId="Symbols">
    <w:name w:val="Symbols"/>
    <w:basedOn w:val="DefaultParagraphFont"/>
    <w:rsid w:val="00B472B0"/>
    <w:rPr>
      <w:rFonts w:ascii="Symbol" w:hAnsi="Symbol"/>
    </w:rPr>
  </w:style>
  <w:style w:type="character" w:customStyle="1" w:styleId="MenuOptions">
    <w:name w:val="Menu Options"/>
    <w:basedOn w:val="DefaultParagraphFont"/>
    <w:rsid w:val="00B472B0"/>
    <w:rPr>
      <w:rFonts w:ascii="Arial Narrow" w:hAnsi="Arial Narrow"/>
      <w:smallCaps/>
    </w:rPr>
  </w:style>
  <w:style w:type="character" w:customStyle="1" w:styleId="Buttons">
    <w:name w:val="Buttons"/>
    <w:basedOn w:val="DefaultParagraphFont"/>
    <w:rsid w:val="00B472B0"/>
    <w:rPr>
      <w:b/>
    </w:rPr>
  </w:style>
  <w:style w:type="character" w:customStyle="1" w:styleId="Underlined">
    <w:name w:val="Underlined"/>
    <w:basedOn w:val="DefaultParagraphFont"/>
    <w:rsid w:val="00B472B0"/>
    <w:rPr>
      <w:u w:val="single"/>
    </w:rPr>
  </w:style>
  <w:style w:type="paragraph" w:customStyle="1" w:styleId="TableBodyTextRight">
    <w:name w:val="Table Body Text Right"/>
    <w:basedOn w:val="TableBodyText"/>
    <w:rsid w:val="00B472B0"/>
    <w:pPr>
      <w:widowControl w:val="0"/>
      <w:autoSpaceDE w:val="0"/>
      <w:autoSpaceDN w:val="0"/>
      <w:adjustRightInd w:val="0"/>
      <w:jc w:val="right"/>
    </w:pPr>
    <w:rPr>
      <w:rFonts w:cs="Arial"/>
      <w:szCs w:val="18"/>
    </w:rPr>
  </w:style>
  <w:style w:type="paragraph" w:customStyle="1" w:styleId="CopyrightText">
    <w:name w:val="Copyright Text"/>
    <w:basedOn w:val="BodyText"/>
    <w:rsid w:val="00B472B0"/>
    <w:rPr>
      <w:sz w:val="18"/>
    </w:rPr>
  </w:style>
  <w:style w:type="paragraph" w:customStyle="1" w:styleId="BodySmallRight">
    <w:name w:val="Body Small Right"/>
    <w:basedOn w:val="BodyTextRight"/>
    <w:rsid w:val="00B472B0"/>
    <w:rPr>
      <w:sz w:val="18"/>
      <w:szCs w:val="18"/>
    </w:rPr>
  </w:style>
  <w:style w:type="paragraph" w:customStyle="1" w:styleId="MarginEdition">
    <w:name w:val="Margin Edition"/>
    <w:basedOn w:val="MarginNote"/>
    <w:rsid w:val="00B472B0"/>
    <w:pPr>
      <w:spacing w:before="0" w:after="0"/>
    </w:pPr>
    <w:rPr>
      <w:rFonts w:ascii="Times New Roman" w:hAnsi="Times New Roman"/>
      <w:color w:val="999999"/>
    </w:rPr>
  </w:style>
  <w:style w:type="paragraph" w:customStyle="1" w:styleId="Spacer">
    <w:name w:val="Spacer"/>
    <w:basedOn w:val="Normal"/>
    <w:rsid w:val="00B472B0"/>
    <w:rPr>
      <w:sz w:val="2"/>
      <w:szCs w:val="2"/>
    </w:rPr>
  </w:style>
  <w:style w:type="character" w:customStyle="1" w:styleId="Small">
    <w:name w:val="Small"/>
    <w:basedOn w:val="DefaultParagraphFont"/>
    <w:rsid w:val="00B472B0"/>
    <w:rPr>
      <w:sz w:val="16"/>
    </w:rPr>
  </w:style>
  <w:style w:type="paragraph" w:customStyle="1" w:styleId="WideTable">
    <w:name w:val="Wide Table"/>
    <w:basedOn w:val="Normal"/>
    <w:rsid w:val="00B472B0"/>
    <w:pPr>
      <w:ind w:left="-1418"/>
    </w:pPr>
    <w:rPr>
      <w:sz w:val="2"/>
      <w:szCs w:val="2"/>
    </w:rPr>
  </w:style>
  <w:style w:type="character" w:styleId="PageNumber">
    <w:name w:val="page number"/>
    <w:basedOn w:val="DefaultParagraphFont"/>
    <w:rsid w:val="00B472B0"/>
  </w:style>
  <w:style w:type="paragraph" w:styleId="Quote">
    <w:name w:val="Quote"/>
    <w:basedOn w:val="Heading1"/>
    <w:link w:val="QuoteChar"/>
    <w:qFormat/>
    <w:rsid w:val="00B472B0"/>
    <w:rPr>
      <w:b w:val="0"/>
      <w:sz w:val="72"/>
      <w:szCs w:val="72"/>
      <w:lang w:val="en-NZ"/>
    </w:rPr>
  </w:style>
  <w:style w:type="character" w:customStyle="1" w:styleId="QuoteChar">
    <w:name w:val="Quote Char"/>
    <w:basedOn w:val="DefaultParagraphFont"/>
    <w:link w:val="Quote"/>
    <w:rsid w:val="00B47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2B0"/>
    <w:pPr>
      <w:pageBreakBefore/>
    </w:pPr>
  </w:style>
  <w:style w:type="paragraph" w:customStyle="1" w:styleId="Border">
    <w:name w:val="Border"/>
    <w:basedOn w:val="Normal"/>
    <w:qFormat/>
    <w:rsid w:val="00B47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2B0"/>
    <w:rPr>
      <w:b/>
      <w:bCs/>
      <w:i/>
      <w:iCs/>
      <w:color w:val="auto"/>
    </w:rPr>
  </w:style>
  <w:style w:type="paragraph" w:styleId="IntenseQuote">
    <w:name w:val="Intense Quote"/>
    <w:basedOn w:val="Normal"/>
    <w:next w:val="Normal"/>
    <w:link w:val="IntenseQuoteChar"/>
    <w:uiPriority w:val="30"/>
    <w:qFormat/>
    <w:rsid w:val="00B47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2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2B0"/>
    <w:rPr>
      <w:smallCaps/>
      <w:color w:val="auto"/>
      <w:u w:val="single"/>
    </w:rPr>
  </w:style>
  <w:style w:type="character" w:styleId="IntenseReference">
    <w:name w:val="Intense Reference"/>
    <w:basedOn w:val="DefaultParagraphFont"/>
    <w:uiPriority w:val="32"/>
    <w:qFormat/>
    <w:rsid w:val="00B472B0"/>
    <w:rPr>
      <w:b/>
      <w:bCs/>
      <w:smallCaps/>
      <w:color w:val="auto"/>
      <w:spacing w:val="5"/>
      <w:u w:val="single"/>
    </w:rPr>
  </w:style>
  <w:style w:type="paragraph" w:customStyle="1" w:styleId="2ColumnHeading">
    <w:name w:val="2Column Heading"/>
    <w:basedOn w:val="BodyText"/>
    <w:qFormat/>
    <w:rsid w:val="00B472B0"/>
    <w:pPr>
      <w:spacing w:after="60"/>
      <w:ind w:left="-2268"/>
    </w:pPr>
    <w:rPr>
      <w:b/>
    </w:rPr>
  </w:style>
  <w:style w:type="paragraph" w:customStyle="1" w:styleId="Heading1TOC">
    <w:name w:val="Heading1 TOC"/>
    <w:basedOn w:val="Normal"/>
    <w:qFormat/>
    <w:rsid w:val="00B472B0"/>
    <w:pPr>
      <w:spacing w:before="240" w:after="120"/>
    </w:pPr>
    <w:rPr>
      <w:rFonts w:ascii="Times New Roman" w:hAnsi="Times New Roman"/>
      <w:b/>
      <w:sz w:val="32"/>
    </w:rPr>
  </w:style>
  <w:style w:type="paragraph" w:customStyle="1" w:styleId="Heading2TOC">
    <w:name w:val="Heading2 TOC"/>
    <w:basedOn w:val="Normal"/>
    <w:qFormat/>
    <w:rsid w:val="00B472B0"/>
    <w:pPr>
      <w:spacing w:before="240" w:after="60"/>
    </w:pPr>
    <w:rPr>
      <w:rFonts w:ascii="Times New Roman" w:hAnsi="Times New Roman"/>
      <w:b/>
      <w:sz w:val="28"/>
    </w:rPr>
  </w:style>
  <w:style w:type="character" w:customStyle="1" w:styleId="Underline">
    <w:name w:val="Underline"/>
    <w:basedOn w:val="DefaultParagraphFont"/>
    <w:qFormat/>
    <w:rsid w:val="00B472B0"/>
    <w:rPr>
      <w:u w:val="single"/>
    </w:rPr>
  </w:style>
  <w:style w:type="character" w:customStyle="1" w:styleId="BoldandItalics">
    <w:name w:val="Bold and Italics"/>
    <w:qFormat/>
    <w:rsid w:val="00B472B0"/>
    <w:rPr>
      <w:b/>
      <w:i/>
      <w:u w:val="none"/>
    </w:rPr>
  </w:style>
  <w:style w:type="paragraph" w:styleId="BalloonText">
    <w:name w:val="Balloon Text"/>
    <w:basedOn w:val="Normal"/>
    <w:link w:val="BalloonTextChar"/>
    <w:rsid w:val="00B472B0"/>
    <w:rPr>
      <w:rFonts w:ascii="Tahoma" w:hAnsi="Tahoma" w:cs="Tahoma"/>
      <w:sz w:val="16"/>
      <w:szCs w:val="16"/>
    </w:rPr>
  </w:style>
  <w:style w:type="character" w:customStyle="1" w:styleId="BalloonTextChar">
    <w:name w:val="Balloon Text Char"/>
    <w:basedOn w:val="DefaultParagraphFont"/>
    <w:link w:val="BalloonText"/>
    <w:rsid w:val="00B472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2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2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2B0"/>
    <w:rPr>
      <w:b/>
      <w:color w:val="660033"/>
      <w:spacing w:val="0"/>
    </w:rPr>
  </w:style>
  <w:style w:type="paragraph" w:customStyle="1" w:styleId="Nameditemlist">
    <w:name w:val="Named item list"/>
    <w:basedOn w:val="BodyText"/>
    <w:qFormat/>
    <w:rsid w:val="00B472B0"/>
    <w:pPr>
      <w:tabs>
        <w:tab w:val="left" w:pos="2835"/>
      </w:tabs>
      <w:ind w:left="2835" w:hanging="2835"/>
    </w:pPr>
  </w:style>
  <w:style w:type="paragraph" w:customStyle="1" w:styleId="BodyTextnopadding">
    <w:name w:val="Body Text no padding"/>
    <w:basedOn w:val="BodyText"/>
    <w:qFormat/>
    <w:rsid w:val="00B472B0"/>
    <w:pPr>
      <w:spacing w:before="0" w:after="0"/>
    </w:pPr>
  </w:style>
  <w:style w:type="paragraph" w:customStyle="1" w:styleId="BodyTextBold">
    <w:name w:val="Body Text Bold"/>
    <w:basedOn w:val="BodyText"/>
    <w:qFormat/>
    <w:rsid w:val="00B472B0"/>
    <w:rPr>
      <w:b/>
    </w:rPr>
  </w:style>
  <w:style w:type="character" w:styleId="Hyperlink">
    <w:name w:val="Hyperlink"/>
    <w:basedOn w:val="DefaultParagraphFont"/>
    <w:uiPriority w:val="99"/>
    <w:unhideWhenUsed/>
    <w:rsid w:val="00A706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1084</Words>
  <Characters>7244</Characters>
  <Application>Microsoft Office Word</Application>
  <DocSecurity>0</DocSecurity>
  <Lines>268</Lines>
  <Paragraphs>120</Paragraphs>
  <ScaleCrop>false</ScaleCrop>
  <Company>Author-it Software Corporation Ltd.</Company>
  <LinksUpToDate>false</LinksUpToDate>
  <CharactersWithSpaces>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UETDRTS013 Install and replace high voltage metering and associated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2022-06-03T04:34:00Z</dcterms:created>
  <dcterms:modified xsi:type="dcterms:W3CDTF">2022-06-03T04:34:00Z</dcterms:modified>
</cp:coreProperties>
</file>