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C88" w:rsidP="008E2C88">
      <w:pPr>
        <w:pStyle w:val="Title"/>
      </w:pPr>
      <w:r>
        <w:fldChar w:fldCharType="begin"/>
      </w:r>
      <w:r>
        <w:instrText xml:space="preserve"> TITLE   \* MERGEFORMAT </w:instrText>
      </w:r>
      <w:r>
        <w:fldChar w:fldCharType="separate"/>
      </w:r>
      <w:r>
        <w:t>UETDRTS013 Install and replace high voltage metering and associated equipment</w:t>
      </w:r>
      <w:r>
        <w:fldChar w:fldCharType="end"/>
      </w:r>
    </w:p>
    <w:p w:rsidR="008E2C88" w:rsidP="008E2C88">
      <w:pPr>
        <w:pStyle w:val="Version"/>
        <w:sectPr w:rsidSect="00241B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B94" w:rsidP="00241B94">
      <w:pPr>
        <w:pStyle w:val="SuperHeading"/>
      </w:pPr>
      <w:r w:rsidRPr="00241B94">
        <w:t>UETDRTS013 Install and replace high voltage metering and associated equipment</w:t>
      </w:r>
    </w:p>
    <w:p w:rsidR="00000000" w:rsidRPr="00241B94" w:rsidP="00241B94">
      <w:pPr>
        <w:pStyle w:val="Heading1"/>
      </w:pPr>
      <w:bookmarkStart w:id="1" w:name="O_1178377"/>
      <w:bookmarkEnd w:id="1"/>
      <w:r w:rsidRPr="00241B94">
        <w:t>Modification History</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Release 1. This is the first release of this unit of competency in the UET Transmission, Distribution and Rail Sector Training Package Release 2.0.</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2" w:name="O_1178378"/>
      <w:bookmarkEnd w:id="2"/>
      <w:r w:rsidRPr="00241B94">
        <w:t>Application</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This unit covers the installation and replacement of high voltage (HV) mete</w:t>
            </w:r>
            <w:r w:rsidRPr="00241B94">
              <w:t>ring and associated equipment. Replacement includes the identification of faults in accordance with established procedures and return to service. It includes the requirements to ascertain if normal functions of the meters and associated equipment are in ac</w:t>
            </w:r>
            <w:r w:rsidRPr="00241B94">
              <w:t>cordance with operating standards.</w:t>
            </w:r>
          </w:p>
          <w:p w:rsidR="00000000" w:rsidRPr="00241B94" w:rsidP="00241B94">
            <w:pPr>
              <w:pStyle w:val="BodyText"/>
            </w:pPr>
            <w:r w:rsidRPr="00241B94">
              <w:t xml:space="preserve">The application of the skills and knowledge described in this unit requires a licence/registration to practice in the workplace subject to regulations for undertaking of electrical work.  </w:t>
            </w:r>
          </w:p>
          <w:p w:rsidR="00000000" w:rsidRPr="00241B94" w:rsidP="00241B94">
            <w:pPr>
              <w:pStyle w:val="BodyText"/>
            </w:pPr>
            <w:r w:rsidRPr="00241B94">
              <w:t>Other conditions may apply under</w:t>
            </w:r>
            <w:r w:rsidRPr="00241B94">
              <w:t xml:space="preserve"> state and territory legislative and regulatory licensing requirements which must be confirmed prior to commencing this unit.</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3" w:name="O_1178379"/>
      <w:bookmarkEnd w:id="3"/>
      <w:r w:rsidRPr="00241B94">
        <w:t>Pre-requisite Unit</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UEENEEE101A Apply Occupational Health and Safety regulations, codes and practices in the w</w:t>
            </w:r>
            <w:r w:rsidRPr="00241B94">
              <w:t>orkplace</w:t>
            </w:r>
          </w:p>
          <w:p w:rsidR="00000000" w:rsidRPr="00241B94" w:rsidP="00241B94">
            <w:pPr>
              <w:pStyle w:val="BodyText"/>
            </w:pPr>
            <w:r w:rsidRPr="00241B94">
              <w:t>UEENEEE102A Fabricate, assemble and dismantle utilities industry components</w:t>
            </w:r>
          </w:p>
          <w:p w:rsidR="00000000" w:rsidRPr="00241B94" w:rsidP="00241B94">
            <w:pPr>
              <w:pStyle w:val="BodyText"/>
            </w:pPr>
            <w:r w:rsidRPr="00241B94">
              <w:t>UEENEEE104A Solve problems in d.c. circuits</w:t>
            </w:r>
          </w:p>
          <w:p w:rsidR="00000000" w:rsidRPr="00241B94" w:rsidP="00241B94">
            <w:pPr>
              <w:pStyle w:val="BodyText"/>
            </w:pPr>
            <w:r w:rsidRPr="00241B94">
              <w:t>UEENEEE105A Fix and secure electrotechnology equipment</w:t>
            </w:r>
          </w:p>
          <w:p w:rsidR="00000000" w:rsidRPr="00241B94" w:rsidP="00241B94">
            <w:pPr>
              <w:pStyle w:val="BodyText"/>
            </w:pPr>
            <w:r w:rsidRPr="00241B94">
              <w:t>UEENEEE107A Use drawings, diagrams, schedules, standards, codes and spec</w:t>
            </w:r>
            <w:r w:rsidRPr="00241B94">
              <w:t>ifications</w:t>
            </w:r>
          </w:p>
          <w:p w:rsidR="00000000" w:rsidRPr="00241B94" w:rsidP="00241B94">
            <w:pPr>
              <w:pStyle w:val="BodyText"/>
            </w:pPr>
            <w:r w:rsidRPr="00241B94">
              <w:t>UEENEEE137A Document and apply measures to control OHS risks associated with electrotechnology work</w:t>
            </w:r>
          </w:p>
          <w:p w:rsidR="00000000" w:rsidRPr="00241B94" w:rsidP="00241B94">
            <w:pPr>
              <w:pStyle w:val="BodyText"/>
            </w:pPr>
            <w:r w:rsidRPr="00241B94">
              <w:t>UEENEEG006A Solve problems in single and three phase low voltage machines</w:t>
            </w:r>
          </w:p>
          <w:p w:rsidR="00000000" w:rsidRPr="00241B94" w:rsidP="00241B94">
            <w:pPr>
              <w:pStyle w:val="BodyText"/>
            </w:pPr>
            <w:r w:rsidRPr="00241B94">
              <w:t>UEENEEG033A Solve problems in single and three phase low voltage electr</w:t>
            </w:r>
            <w:r w:rsidRPr="00241B94">
              <w:t>ical apparatus and circuits</w:t>
            </w:r>
          </w:p>
          <w:p w:rsidR="00000000" w:rsidRPr="00241B94" w:rsidP="00241B94">
            <w:pPr>
              <w:pStyle w:val="BodyText"/>
            </w:pPr>
            <w:r w:rsidRPr="00241B94">
              <w:t>UEENEEG063A Arrange circuits, control and protection for general electrical installations</w:t>
            </w:r>
          </w:p>
          <w:p w:rsidR="00000000" w:rsidRPr="00241B94" w:rsidP="00241B94">
            <w:pPr>
              <w:pStyle w:val="BodyText"/>
            </w:pPr>
            <w:r w:rsidRPr="00241B94">
              <w:t>UEENEEG076A Install and replace low voltage current transformer metering</w:t>
            </w:r>
          </w:p>
          <w:p w:rsidR="00000000" w:rsidRPr="00241B94" w:rsidP="00241B94">
            <w:pPr>
              <w:pStyle w:val="BodyText"/>
            </w:pPr>
            <w:r w:rsidRPr="00241B94">
              <w:t>UEENEEG101A Solve problems in electromagnetic devices and related circuits</w:t>
            </w:r>
          </w:p>
          <w:p w:rsidR="00000000" w:rsidRPr="00241B94" w:rsidP="00241B94">
            <w:pPr>
              <w:pStyle w:val="BodyText"/>
            </w:pPr>
            <w:r w:rsidRPr="00241B94">
              <w:t>UEENEEG102A Solve problems in low voltage a.c. circuits</w:t>
            </w:r>
          </w:p>
          <w:p w:rsidR="00000000" w:rsidRPr="00241B94" w:rsidP="00241B94">
            <w:pPr>
              <w:pStyle w:val="BodyText"/>
            </w:pPr>
            <w:r w:rsidRPr="00241B94">
              <w:t>UEENEEG103A Install low voltage wiring and accessories</w:t>
            </w:r>
          </w:p>
          <w:p w:rsidR="00000000" w:rsidRPr="00241B94" w:rsidP="00241B94">
            <w:pPr>
              <w:pStyle w:val="BodyText"/>
            </w:pPr>
            <w:r w:rsidRPr="00241B94">
              <w:t xml:space="preserve">UEENEEG104A Install appliances, switchgear and associated accessories </w:t>
            </w:r>
            <w:r w:rsidRPr="00241B94">
              <w:t xml:space="preserve">for low voltage </w:t>
            </w:r>
            <w:r w:rsidRPr="00241B94">
              <w:t>electrical installations</w:t>
            </w:r>
          </w:p>
          <w:p w:rsidR="00000000" w:rsidRPr="00241B94" w:rsidP="00241B94">
            <w:pPr>
              <w:pStyle w:val="BodyText"/>
            </w:pPr>
            <w:r w:rsidRPr="00241B94">
              <w:t>UEENEEG105A Verify compliance and functionality of low voltage general electrical installations</w:t>
            </w:r>
          </w:p>
          <w:p w:rsidR="00000000" w:rsidRPr="00241B94" w:rsidP="00241B94">
            <w:pPr>
              <w:pStyle w:val="BodyText"/>
            </w:pPr>
            <w:r w:rsidRPr="00241B94">
              <w:t>UEENEEG106A Terminate cables, cords and accessories for low voltage circuits</w:t>
            </w:r>
          </w:p>
          <w:p w:rsidR="00000000" w:rsidRPr="00241B94" w:rsidP="00241B94">
            <w:pPr>
              <w:pStyle w:val="BodyText"/>
            </w:pPr>
            <w:r w:rsidRPr="00241B94">
              <w:t>UEENEEG107A Select wiring systems and cabl</w:t>
            </w:r>
            <w:r w:rsidRPr="00241B94">
              <w:t>es for low voltage general electrical installations</w:t>
            </w:r>
          </w:p>
          <w:p w:rsidR="00000000" w:rsidRPr="00241B94" w:rsidP="00241B94">
            <w:pPr>
              <w:pStyle w:val="BodyText"/>
            </w:pPr>
            <w:r w:rsidRPr="00241B94">
              <w:t>UEENEEG108A Trouble-shoot and repair faults in low voltage electrical apparatus and circuits</w:t>
            </w:r>
          </w:p>
          <w:p w:rsidR="00000000" w:rsidRPr="00241B94" w:rsidP="00241B94">
            <w:pPr>
              <w:pStyle w:val="BodyText"/>
            </w:pPr>
            <w:r w:rsidRPr="00241B94">
              <w:t>UEENEEG109A Develop and connect electrical control circuits</w:t>
            </w:r>
          </w:p>
          <w:p w:rsidR="00000000" w:rsidRPr="00241B94" w:rsidP="00241B94">
            <w:pPr>
              <w:pStyle w:val="BodyText"/>
            </w:pPr>
            <w:r w:rsidRPr="00241B94">
              <w:t>UEENEEG171A Install, set up and commission interval</w:t>
            </w:r>
            <w:r w:rsidRPr="00241B94">
              <w:t xml:space="preserve"> metering</w:t>
            </w:r>
          </w:p>
          <w:p w:rsidR="00000000" w:rsidRPr="00241B94" w:rsidP="00241B94">
            <w:pPr>
              <w:pStyle w:val="BodyText"/>
            </w:pPr>
            <w:r w:rsidRPr="00241B94">
              <w:t>UETDREL001 Apply environmental requirements</w:t>
            </w:r>
          </w:p>
          <w:p w:rsidR="00000000" w:rsidRPr="00241B94" w:rsidP="00241B94">
            <w:pPr>
              <w:pStyle w:val="BodyText"/>
            </w:pPr>
            <w:r w:rsidRPr="00241B94">
              <w:t>UETDREL005 Work safely in the vicinity of live electrical apparatus</w:t>
            </w:r>
          </w:p>
          <w:p w:rsidR="00000000" w:rsidRPr="00241B94" w:rsidP="00241B94">
            <w:pPr>
              <w:pStyle w:val="BodyText"/>
            </w:pPr>
            <w:r w:rsidRPr="00241B94">
              <w:t>UETDRTS022 Perform current injection testing using phantom load</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4" w:name="O_1178380"/>
      <w:bookmarkEnd w:id="4"/>
      <w:r w:rsidRPr="00241B94">
        <w:t>Competency Field</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Testing</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5" w:name="O_1178381"/>
      <w:bookmarkEnd w:id="5"/>
      <w:r w:rsidRPr="00241B94">
        <w:t>Unit Sector</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Not applicable.</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6" w:name="O_1178382"/>
      <w:bookmarkEnd w:id="6"/>
      <w:r w:rsidRPr="00241B9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41B9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PERFORMANCE CRITERIA</w:t>
            </w:r>
          </w:p>
        </w:tc>
      </w:tr>
      <w:tr w:rsidTr="00241B9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Performance criteria describe the performance needed to demonstrate achievement of the element.</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rPr>
                <w:rStyle w:val="SpecialBold"/>
              </w:rPr>
              <w:t>Plan for the installation and replacement of HV metering and associated equipment</w:t>
            </w: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Work health and safety (WHS)/occupational health and safety (OHS) practices/procedures and environmental and sustainable energy procedures, which may influence the in</w:t>
            </w:r>
            <w:r w:rsidRPr="00241B94">
              <w:t>stallation and replacement of HV metering and associated equipment, are reviewed and determined</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Purpose of the installation and replacement of HV metering and associated equipment is established after data is analysed and expected outcomes of the wo</w:t>
            </w:r>
            <w:r w:rsidRPr="00241B94">
              <w:t>rk are confirmed with appropriate personnel</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Organisational established procedures, policies and specifications for the installation and replacement of HV metering and associated equipment are obtained or established with appropriate personnel</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Installation and replacement of HV metering and associated equipment procedures are discussed with/directed to appropriate personnel in order to ascertain the project brief</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Installation and replacement parameters are established from organisational</w:t>
            </w:r>
            <w:r w:rsidRPr="00241B94">
              <w:t xml:space="preserve"> established procedures, policies and specifications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Equipment/tools and personal protective equipment (PPE) are selected based on specified performance criteria and established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Work roles and tasks are allocated according to requi</w:t>
            </w:r>
            <w:r w:rsidRPr="00241B94">
              <w:t>rements and individual competencies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Work is prioritised and sequenced for the most efficient/effective outcome, completed within an acceptable timeframe to a quality standard and in accordance with established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Liaison and communication issues with others/authorised personnel, authorities, clients, customers are resolved and activities coordinated to carry out work</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Risk control measures are identified, prioritised and evaluated against the work schedule</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Relevant internal and external work permits are obtained to coordinate the performance of work according to requirements and/or established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rPr>
                <w:rStyle w:val="SpecialBold"/>
              </w:rPr>
              <w:t>Carry out the installation and replacement of HV metering and associated equipment</w:t>
            </w: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WHS/OHS and sustainable energy principles, functionality and practices to prevent accidents and minimise waste are incorporated into the project in accordance with requirements and/or established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Installation and replacement of HV meterin</w:t>
            </w:r>
            <w:r w:rsidRPr="00241B94">
              <w:t>g and associated equipment decisions are made on the basis of safety and effective outcomes according to requirements and/or established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Technical advice is given regarding potential hazards, safety risks and control measures so that moni</w:t>
            </w:r>
            <w:r w:rsidRPr="00241B94">
              <w:t>toring and preventative action can be undertaken and/or appropriate authorities consulted, where necessary, in accordance with requirements and established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Essential knowledge and associated skills are applied to analyse specific data and</w:t>
            </w:r>
            <w:r w:rsidRPr="00241B94">
              <w:t xml:space="preserve"> compare it with compliance specifications to ensure completion of the project within an agreed timeframe according to requirements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Installation and replacement of HV metering and associated equipment is undertaken according to requirements and esta</w:t>
            </w:r>
            <w:r w:rsidRPr="00241B94">
              <w:t>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Work teams/groups are arranged/coordinated/evaluated to ensure planned goals are met according to established procedures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Solutions to non-routine problems are identified and actioned, using essential knowledge and associated skills, according to requirements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Quality of work is monitored against personal performance agreement and/or established organisational and prof</w:t>
            </w:r>
            <w:r w:rsidRPr="00241B94">
              <w:t>essional standards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rPr>
                <w:rStyle w:val="SpecialBold"/>
              </w:rPr>
              <w:t>Complete the installation and replacement of HV metering and associated equipment</w:t>
            </w: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Final inspections of the installation and replacement of HV metering and associated equipment are undertaken to ensure they comply with all requirem</w:t>
            </w:r>
            <w:r w:rsidRPr="00241B94">
              <w:t>ents and include all specifications and documents needed to complete the project</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 xml:space="preserve">Appropriate internal/external personnel are notified of completion and reports and/or completion documents are finalised/commissioned according to established </w:t>
            </w:r>
            <w:r w:rsidRPr="00241B94">
              <w:t>procedures and timeframes</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Reports and/or completion documents are submitted to relevant personnel/organisations for approval and, where applicable, statutory or regulatory approval</w:t>
            </w:r>
          </w:p>
        </w:tc>
      </w:tr>
      <w:tr w:rsidTr="00241B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B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Approved copies of the installation and replacement of high v</w:t>
            </w:r>
            <w:r w:rsidRPr="00241B94">
              <w:t>oltage metering and associated equipment documents are issued and records are updated in accordance with established procedures</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7" w:name="O_1178383"/>
      <w:bookmarkEnd w:id="7"/>
      <w:r w:rsidRPr="00241B94">
        <w:t>Foundation Skills</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Foundation skills essential to performance are explicit in the performance criteria of th</w:t>
            </w:r>
            <w:r w:rsidRPr="00241B94">
              <w:t>is unit of competency.</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8" w:name="O_1178384"/>
      <w:bookmarkEnd w:id="8"/>
      <w:r w:rsidRPr="00241B94">
        <w:t>Range of Conditions</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Range is restricted to essential operating conditions and any other variables essential to the work environment.</w:t>
            </w:r>
          </w:p>
          <w:p w:rsidR="00000000" w:rsidRPr="00241B94" w:rsidP="00241B94">
            <w:pPr>
              <w:pStyle w:val="BodyText"/>
            </w:pPr>
            <w:r w:rsidRPr="00241B94">
              <w:t>Non-essential conditions may be found in the UET Transmission, Distribution and Rail Sector Training Package Companion Volume Implementation Guide.</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9" w:name="O_1178385"/>
      <w:bookmarkEnd w:id="9"/>
      <w:r w:rsidRPr="00241B94">
        <w:t>Unit Mapping Information</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This unit replaces and is equivalent to UETTDRTS38 Install and</w:t>
            </w:r>
            <w:r w:rsidRPr="00241B94">
              <w:t xml:space="preserve"> replace high voltage metering and associated equipment.</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10" w:name="O_1178392"/>
      <w:bookmarkEnd w:id="10"/>
      <w:r w:rsidRPr="00241B94">
        <w:t>Links</w:t>
      </w:r>
    </w:p>
    <w:p w:rsidR="00000000" w:rsidRPr="00241B94" w:rsidP="008E2C88">
      <w:pPr>
        <w:pStyle w:val="BodyText"/>
      </w:pPr>
      <w:r w:rsidRPr="00241B9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05984">
        <w:rPr>
          <w:rStyle w:val="Hyperlink"/>
        </w:rPr>
        <w:t>https://vetnet.gov.au/Pages/TrainingDocs.aspx?q=229bace1-b7bc-4653-9300-dffb13ecfad7</w:t>
      </w:r>
      <w:r>
        <w:fldChar w:fldCharType="end"/>
      </w:r>
    </w:p>
    <w:p w:rsidR="00000000" w:rsidRPr="00241B94" w:rsidP="008E2C88">
      <w:pPr>
        <w:pStyle w:val="BodyText"/>
        <w:sectPr w:rsidSect="00241B94">
          <w:headerReference w:type="default" r:id="rId10"/>
          <w:footerReference w:type="default" r:id="rId11"/>
          <w:pgSz w:w="11908" w:h="16833"/>
          <w:pgMar w:top="1702" w:right="1418" w:bottom="1702" w:left="1418" w:header="992" w:footer="992" w:gutter="0"/>
          <w:cols w:space="720"/>
          <w:noEndnote/>
          <w:docGrid w:linePitch="299"/>
        </w:sectPr>
      </w:pPr>
    </w:p>
    <w:p w:rsidR="00000000" w:rsidRPr="00241B94" w:rsidP="00241B94">
      <w:pPr>
        <w:pStyle w:val="SuperHeading"/>
      </w:pPr>
      <w:r w:rsidRPr="00241B94">
        <w:t>Assessment Requirements for UETDRTS013 Install and replace high voltage metering and associated equipment</w:t>
      </w:r>
    </w:p>
    <w:p w:rsidR="00000000" w:rsidRPr="00241B94" w:rsidP="00241B94">
      <w:pPr>
        <w:pStyle w:val="Heading1"/>
      </w:pPr>
      <w:bookmarkStart w:id="11" w:name="O_1178387"/>
      <w:bookmarkEnd w:id="11"/>
      <w:r w:rsidRPr="00241B94">
        <w:t>Modification History</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Release 1. This is the first release of this unit of competency in the UET Transmission, Distribution and Rail Sector Training Package Release 2.0.</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12" w:name="O_1178388"/>
      <w:bookmarkEnd w:id="12"/>
      <w:r w:rsidRPr="00241B94">
        <w:t>Performance Evidence</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 xml:space="preserve">Evidence required to demonstrate competence in this unit must be relevant to and satisfy all of the requirements of the elements and performance criteria on at least two separate occasions and include:  </w:t>
            </w:r>
          </w:p>
        </w:tc>
      </w:tr>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ListBullet"/>
            </w:pPr>
            <w:r w:rsidRPr="00241B94">
              <w:t>applying relevant work health and safety (WHS)/occ</w:t>
            </w:r>
            <w:r w:rsidRPr="00241B94">
              <w:t xml:space="preserve">upational health and safety (OHS) requirements, including the use of risk control measures </w:t>
            </w:r>
          </w:p>
          <w:p w:rsidR="00000000" w:rsidRPr="00241B94" w:rsidP="00241B94">
            <w:pPr>
              <w:pStyle w:val="ListBullet"/>
            </w:pPr>
            <w:r w:rsidRPr="00241B94">
              <w:t>applying sustainable energy principles and practices</w:t>
            </w:r>
          </w:p>
          <w:p w:rsidR="00000000" w:rsidRPr="00241B94" w:rsidP="00241B94">
            <w:pPr>
              <w:pStyle w:val="ListBullet"/>
            </w:pPr>
            <w:r w:rsidRPr="00241B94">
              <w:t>performing installation and replacement, on at least three (3) occasions, of at least three (3) of the followin</w:t>
            </w:r>
            <w:r w:rsidRPr="00241B94">
              <w:t>g:</w:t>
            </w:r>
          </w:p>
          <w:p w:rsidR="00000000" w:rsidRPr="00241B94" w:rsidP="00241B94">
            <w:pPr>
              <w:pStyle w:val="ListBullet2"/>
            </w:pPr>
            <w:r w:rsidRPr="00241B94">
              <w:t>high voltage (HV) metering schemes</w:t>
            </w:r>
          </w:p>
          <w:p w:rsidR="00000000" w:rsidRPr="00241B94" w:rsidP="00241B94">
            <w:pPr>
              <w:pStyle w:val="ListBullet2"/>
            </w:pPr>
            <w:r w:rsidRPr="00241B94">
              <w:t>HV zone substation metering schemes</w:t>
            </w:r>
          </w:p>
          <w:p w:rsidR="00000000" w:rsidRPr="00241B94" w:rsidP="00241B94">
            <w:pPr>
              <w:pStyle w:val="ListBullet2"/>
            </w:pPr>
            <w:r w:rsidRPr="00241B94">
              <w:t>HV bulk supply point metering schemes</w:t>
            </w:r>
          </w:p>
          <w:p w:rsidR="00000000" w:rsidRPr="00241B94" w:rsidP="00241B94">
            <w:pPr>
              <w:pStyle w:val="ListBullet2"/>
            </w:pPr>
            <w:r w:rsidRPr="00241B94">
              <w:t>HV summation metering schemes</w:t>
            </w:r>
          </w:p>
          <w:p w:rsidR="00000000" w:rsidRPr="00241B94" w:rsidP="00241B94">
            <w:pPr>
              <w:pStyle w:val="ListBullet"/>
            </w:pPr>
            <w:r w:rsidRPr="00241B94">
              <w:t>performing on at least three (3) occasions, the installation and replacement of the following:</w:t>
            </w:r>
          </w:p>
          <w:p w:rsidR="00000000" w:rsidRPr="00241B94" w:rsidP="00241B94">
            <w:pPr>
              <w:pStyle w:val="ListBullet2"/>
            </w:pPr>
            <w:r w:rsidRPr="00241B94">
              <w:t>HV current/voltage transformers (including return to service)</w:t>
            </w:r>
          </w:p>
          <w:p w:rsidR="00000000" w:rsidRPr="00241B94" w:rsidP="00241B94">
            <w:pPr>
              <w:pStyle w:val="ListBullet2"/>
            </w:pPr>
            <w:r w:rsidRPr="00241B94">
              <w:t>energy meters</w:t>
            </w:r>
          </w:p>
          <w:p w:rsidR="00000000" w:rsidRPr="00241B94" w:rsidP="00241B94">
            <w:pPr>
              <w:pStyle w:val="ListBullet2"/>
            </w:pPr>
            <w:r w:rsidRPr="00241B94">
              <w:t>associated equipment</w:t>
            </w:r>
          </w:p>
          <w:p w:rsidR="00000000" w:rsidRPr="00241B94" w:rsidP="00241B94">
            <w:pPr>
              <w:pStyle w:val="ListBullet"/>
            </w:pPr>
            <w:r w:rsidRPr="00241B94">
              <w:t>performing on at least one (1) occasion, the following activity:</w:t>
            </w:r>
          </w:p>
          <w:p w:rsidR="00000000" w:rsidRPr="00241B94" w:rsidP="00241B94">
            <w:pPr>
              <w:pStyle w:val="ListBullet2"/>
            </w:pPr>
            <w:r w:rsidRPr="00241B94">
              <w:t>installation or replacement of a typical HV bulk supply point metering scheme</w:t>
            </w:r>
          </w:p>
          <w:p w:rsidR="00000000" w:rsidRPr="00241B94" w:rsidP="00241B94">
            <w:pPr>
              <w:pStyle w:val="ListBullet"/>
            </w:pPr>
            <w:r w:rsidRPr="00241B94">
              <w:t xml:space="preserve">dealing with </w:t>
            </w:r>
            <w:r w:rsidRPr="00241B94">
              <w:t>unplanned events on at least one (1) occasion.</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13" w:name="O_1178389"/>
      <w:bookmarkEnd w:id="13"/>
      <w:r w:rsidRPr="00241B94">
        <w:t>Knowledge Evidence</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1B94">
            <w:pPr>
              <w:pStyle w:val="BodyText"/>
              <w:rPr>
                <w:lang w:val="en-NZ"/>
              </w:rPr>
            </w:pPr>
            <w:r w:rsidRPr="00241B94">
              <w:t xml:space="preserve">Evidence required to demonstrate competence in this unit must be relevant to and satisfy all of the requirements of the elements and performance criteria and </w:t>
            </w:r>
            <w:r w:rsidRPr="00241B94">
              <w:t>include knowledge of:</w:t>
            </w:r>
          </w:p>
        </w:tc>
      </w:tr>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ListBullet"/>
            </w:pPr>
            <w:r w:rsidRPr="00241B94">
              <w:t xml:space="preserve">associated equipment encompassing: </w:t>
            </w:r>
          </w:p>
          <w:p w:rsidR="00000000" w:rsidRPr="00241B94" w:rsidP="00241B94">
            <w:pPr>
              <w:pStyle w:val="ListBullet2"/>
            </w:pPr>
            <w:r w:rsidRPr="00241B94">
              <w:t>fuses, current transformers, voltage transformers, test block, current transformer chamber, marshalling kiosk, wiring, voltage fail relays, sealing equipment, terminals, links, modems, communicat</w:t>
            </w:r>
            <w:r w:rsidRPr="00241B94">
              <w:t>ions equipment, direct current (d.c.) supplies, aerials, optical isolation equipment, fibre optics, solid state recorders, pulse repeat relays, pulsing outputs, energy/distribution management systems, communication interface modules, and alarms</w:t>
            </w:r>
          </w:p>
          <w:p w:rsidR="00000000" w:rsidRPr="00241B94" w:rsidP="00241B94">
            <w:pPr>
              <w:pStyle w:val="ListBullet"/>
            </w:pPr>
            <w:r w:rsidRPr="00241B94">
              <w:t>selection of suitable equipment to meet site requirements and other requirements as prescribed by the regulated energy market rules</w:t>
            </w:r>
          </w:p>
          <w:p w:rsidR="00000000" w:rsidRPr="00241B94" w:rsidP="00241B94">
            <w:pPr>
              <w:pStyle w:val="ListBullet"/>
            </w:pPr>
            <w:r w:rsidRPr="00241B94">
              <w:t>communicating as required with market participants, including meter data provider and responsible person</w:t>
            </w:r>
          </w:p>
          <w:p w:rsidR="00000000" w:rsidRPr="00241B94" w:rsidP="00241B94">
            <w:pPr>
              <w:pStyle w:val="ListBullet"/>
            </w:pPr>
            <w:r w:rsidRPr="00241B94">
              <w:t>meter storage, hand</w:t>
            </w:r>
            <w:r w:rsidRPr="00241B94">
              <w:t>ling and disposal processes in accordance with enterprise policies and procedures</w:t>
            </w:r>
          </w:p>
          <w:p w:rsidR="00000000" w:rsidRPr="00241B94" w:rsidP="00241B94">
            <w:pPr>
              <w:pStyle w:val="ListBullet"/>
            </w:pPr>
            <w:r w:rsidRPr="00241B94">
              <w:t>awareness of jurisdictional rules and requirements to allow work to be performed in local network service provider areas</w:t>
            </w:r>
          </w:p>
          <w:p w:rsidR="00000000" w:rsidRPr="00241B94" w:rsidP="00241B94">
            <w:pPr>
              <w:pStyle w:val="ListBullet"/>
            </w:pPr>
            <w:r w:rsidRPr="00241B94">
              <w:t>standards, codes, Commonwealth/state/territory legisl</w:t>
            </w:r>
            <w:r w:rsidRPr="00241B94">
              <w:t xml:space="preserve">ation, supply authority regulations and/or </w:t>
            </w:r>
            <w:r w:rsidRPr="00241B94">
              <w:t>enterprise requirements associated with the installation and replacement of HV metering and associated equipment procedures</w:t>
            </w:r>
          </w:p>
          <w:p w:rsidR="00000000" w:rsidRPr="00241B94" w:rsidP="00241B94">
            <w:pPr>
              <w:pStyle w:val="ListBullet"/>
            </w:pPr>
            <w:r w:rsidRPr="00241B94">
              <w:t>use of enterprise and/or manufacturer manuals, system diagrams/plans and drawings and oth</w:t>
            </w:r>
            <w:r w:rsidRPr="00241B94">
              <w:t>er related documentation for the installation and replacement of HV metering and associated equipment</w:t>
            </w:r>
          </w:p>
          <w:p w:rsidR="00000000" w:rsidRPr="00241B94" w:rsidP="00241B94">
            <w:pPr>
              <w:pStyle w:val="ListBullet"/>
            </w:pPr>
            <w:r w:rsidRPr="00241B94">
              <w:t>work in accordance with enterprise safe systems of work.</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14" w:name="O_1178390"/>
      <w:bookmarkEnd w:id="14"/>
      <w:r w:rsidRPr="00241B94">
        <w:t>Assessment Conditions</w:t>
      </w:r>
    </w:p>
    <w:tbl>
      <w:tblPr>
        <w:tblW w:w="9497" w:type="dxa"/>
        <w:tblLayout w:type="fixed"/>
        <w:tblCellMar>
          <w:left w:w="62" w:type="dxa"/>
          <w:right w:w="62" w:type="dxa"/>
        </w:tblCellMar>
        <w:tblLook w:val="0000"/>
      </w:tblPr>
      <w:tblGrid>
        <w:gridCol w:w="9497"/>
      </w:tblGrid>
      <w:tr w:rsidTr="00241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B94" w:rsidP="00241B94">
            <w:pPr>
              <w:pStyle w:val="BodyText"/>
            </w:pPr>
            <w:r w:rsidRPr="00241B94">
              <w:t>Assessors must hold credentials specified within the Standards for Registered Training Organisations current at the time of assessment.</w:t>
            </w:r>
          </w:p>
          <w:p w:rsidR="00000000" w:rsidRPr="00241B94" w:rsidP="00241B94">
            <w:pPr>
              <w:pStyle w:val="BodyText"/>
            </w:pPr>
            <w:r w:rsidRPr="00241B94">
              <w:t>Assessment must satisfy the Principles of Assessment and Rules of Evidence and all regulatory requirements included with</w:t>
            </w:r>
            <w:r w:rsidRPr="00241B94">
              <w:t>in the Standards for Registered Training Organisations current at the time of assessment.</w:t>
            </w:r>
          </w:p>
          <w:p w:rsidR="00000000" w:rsidRPr="00241B94" w:rsidP="00241B94">
            <w:pPr>
              <w:pStyle w:val="BodyText"/>
            </w:pPr>
            <w:r w:rsidRPr="00241B94">
              <w:t>Assessment must occur in workplace operational situations where it is appropriate to do so; where this is not appropriate, assessment must occur in simulated conditio</w:t>
            </w:r>
            <w:r w:rsidRPr="00241B94">
              <w:t>ns involving realistic and authentic activities that replicate operational workplace conditions.</w:t>
            </w:r>
          </w:p>
          <w:p w:rsidR="00000000" w:rsidRPr="00241B94" w:rsidP="00241B94">
            <w:pPr>
              <w:pStyle w:val="BodyText"/>
            </w:pPr>
            <w:r w:rsidRPr="00241B94">
              <w:t>Assessment processes and techniques must be appropriate to the language, literacy and numeracy requirements of the work being performed and the needs of the ca</w:t>
            </w:r>
            <w:r w:rsidRPr="00241B94">
              <w:t>ndidate.</w:t>
            </w:r>
          </w:p>
          <w:p w:rsidR="00000000" w:rsidRPr="00241B94" w:rsidP="00241B94">
            <w:pPr>
              <w:pStyle w:val="BodyText"/>
            </w:pPr>
            <w:r w:rsidRPr="00241B94">
              <w:t>Resources for assessment must include access to:</w:t>
            </w:r>
          </w:p>
          <w:p w:rsidR="00000000" w:rsidRPr="00241B94" w:rsidP="00241B94">
            <w:pPr>
              <w:pStyle w:val="ListBullet"/>
            </w:pPr>
            <w:r w:rsidRPr="00241B94">
              <w:t>a range of relevant exercises, case studies and/or other simulations</w:t>
            </w:r>
          </w:p>
          <w:p w:rsidR="00000000" w:rsidRPr="00241B94" w:rsidP="00241B94">
            <w:pPr>
              <w:pStyle w:val="ListBullet"/>
            </w:pPr>
            <w:r w:rsidRPr="00241B94">
              <w:t>relevant and appropriate materials, tools, equipment and personal protective equipment (PPE) currently used in industry</w:t>
            </w:r>
          </w:p>
          <w:p w:rsidR="00000000" w:rsidRPr="00241B94" w:rsidP="00241B94">
            <w:pPr>
              <w:pStyle w:val="ListBullet"/>
            </w:pPr>
            <w:r w:rsidRPr="00241B94">
              <w:t>applicab</w:t>
            </w:r>
            <w:r w:rsidRPr="00241B94">
              <w:t>le documentation, including workplace procedures, equipment specifications, regulations, codes of practice and operation manuals.</w:t>
            </w:r>
          </w:p>
        </w:tc>
      </w:tr>
    </w:tbl>
    <w:p w:rsidR="00000000" w:rsidRPr="00241B94" w:rsidP="00241B94">
      <w:pPr>
        <w:pStyle w:val="NoPaddingFontSize1"/>
      </w:pPr>
    </w:p>
    <w:p w:rsidR="00000000" w:rsidRPr="00241B94" w:rsidP="00241B94">
      <w:pPr>
        <w:pStyle w:val="AllowPageBreak"/>
      </w:pPr>
    </w:p>
    <w:p w:rsidR="00000000" w:rsidRPr="00241B94" w:rsidP="00241B94">
      <w:pPr>
        <w:pStyle w:val="Heading1"/>
      </w:pPr>
      <w:bookmarkStart w:id="15" w:name="O_1178393"/>
      <w:bookmarkEnd w:id="15"/>
      <w:r w:rsidRPr="00241B94">
        <w:t>Links</w:t>
      </w:r>
    </w:p>
    <w:p w:rsidR="00000000" w:rsidRPr="00241B94" w:rsidP="008E2C88">
      <w:pPr>
        <w:pStyle w:val="BodyText"/>
      </w:pPr>
      <w:r w:rsidRPr="00241B9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05984">
        <w:rPr>
          <w:rStyle w:val="Hyperlink"/>
        </w:rPr>
        <w:t>https://vetnet.gov.au/Pages/TrainingDocs.aspx?q=229bace1-b7bc-4653-9300-dffb13ecfad7</w:t>
      </w:r>
      <w:r>
        <w:fldChar w:fldCharType="end"/>
      </w:r>
    </w:p>
    <w:p w:rsidR="00000000" w:rsidRPr="00241B94" w:rsidP="00241B94"/>
    <w:sectPr w:rsidSect="00241B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94" w:rsidRPr="008E2C88" w:rsidP="008E2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8" w:rsidP="00241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2C88" w:rsidP="00241B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E2C88" w:rsidP="00241B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94" w:rsidP="00241B94">
    <w:pPr>
      <w:pStyle w:val="Footer"/>
      <w:framePr w:wrap="around"/>
    </w:pPr>
    <w:r>
      <w:fldChar w:fldCharType="begin"/>
    </w:r>
    <w:r>
      <w:instrText xml:space="preserve"> DOCPROPERTY  Subject  \* MERGEFORMAT </w:instrText>
    </w:r>
    <w:r>
      <w:fldChar w:fldCharType="separate"/>
    </w:r>
    <w:r w:rsidR="008E2C88">
      <w:t>Approved</w:t>
    </w:r>
    <w:r w:rsidR="008E2C88">
      <w:fldChar w:fldCharType="end"/>
    </w:r>
    <w:r>
      <w:tab/>
      <w:t xml:space="preserve">Page </w:t>
    </w:r>
    <w:r>
      <w:fldChar w:fldCharType="begin"/>
    </w:r>
    <w:r>
      <w:instrText xml:space="preserve"> PAGE  \* Arabic  \* MERGEFORMAT </w:instrText>
    </w:r>
    <w:r>
      <w:fldChar w:fldCharType="separate"/>
    </w:r>
    <w:r w:rsidR="008E2C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C88">
      <w:rPr>
        <w:noProof/>
      </w:rPr>
      <w:t>5</w:t>
    </w:r>
    <w:r>
      <w:rPr>
        <w:noProof/>
      </w:rPr>
      <w:fldChar w:fldCharType="end"/>
    </w:r>
  </w:p>
  <w:p w:rsidR="00241B94" w:rsidP="00241B94">
    <w:pPr>
      <w:pStyle w:val="Footer"/>
      <w:framePr w:wrap="around"/>
    </w:pPr>
    <w:r>
      <w:t xml:space="preserve">© Commonwealth of Australia, </w:t>
    </w:r>
    <w:r>
      <w:fldChar w:fldCharType="begin"/>
    </w:r>
    <w:r>
      <w:instrText xml:space="preserve"> DATE  \@ "yyyy"  \* MERGEFORMAT </w:instrText>
    </w:r>
    <w:r>
      <w:fldChar w:fldCharType="separate"/>
    </w:r>
    <w:r w:rsidR="008E2C88">
      <w:rPr>
        <w:noProof/>
      </w:rPr>
      <w:t>2025</w:t>
    </w:r>
    <w:r>
      <w:fldChar w:fldCharType="end"/>
    </w:r>
    <w:r>
      <w:tab/>
    </w:r>
    <w:r>
      <w:fldChar w:fldCharType="begin"/>
    </w:r>
    <w:r>
      <w:instrText xml:space="preserve"> DOCPROPERTY  Author  \* MERGEFORMAT </w:instrText>
    </w:r>
    <w:r>
      <w:fldChar w:fldCharType="separate"/>
    </w:r>
    <w:r w:rsidR="008E2C88">
      <w:t>Powering Skills Organisation</w:t>
    </w:r>
    <w:r w:rsidR="008E2C88">
      <w:fldChar w:fldCharType="end"/>
    </w:r>
  </w:p>
  <w:p w:rsidR="00241B94" w:rsidP="00241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B94" w:rsidRPr="008E2C88" w:rsidP="008E2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8" w:rsidRPr="002D2AF8" w:rsidP="00241B94">
    <w:pPr>
      <w:pStyle w:val="Header"/>
      <w:framePr w:wrap="around"/>
    </w:pPr>
    <w:r>
      <w:fldChar w:fldCharType="begin"/>
    </w:r>
    <w:r>
      <w:instrText xml:space="preserve"> TITLE   \* MERGEFORMAT </w:instrText>
    </w:r>
    <w:r>
      <w:fldChar w:fldCharType="separate"/>
    </w:r>
    <w:r>
      <w:t>UETDRTS013 Install and replace high voltage metering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2C88" w:rsidP="00241B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94" w:rsidRPr="002D2AF8" w:rsidP="00241B94">
    <w:pPr>
      <w:pStyle w:val="Header"/>
      <w:framePr w:wrap="around"/>
    </w:pPr>
    <w:r>
      <w:fldChar w:fldCharType="begin"/>
    </w:r>
    <w:r>
      <w:instrText xml:space="preserve"> TITLE   \* MERGEFORMAT </w:instrText>
    </w:r>
    <w:r>
      <w:fldChar w:fldCharType="separate"/>
    </w:r>
    <w:r w:rsidR="008E2C88">
      <w:t>UETDRTS013 Install and replace high voltage metering and associated equipment</w:t>
    </w:r>
    <w:r w:rsidR="008E2C88">
      <w:fldChar w:fldCharType="end"/>
    </w:r>
    <w:r>
      <w:tab/>
      <w:t xml:space="preserve">Date this document was generated: </w:t>
    </w:r>
    <w:r>
      <w:fldChar w:fldCharType="begin"/>
    </w:r>
    <w:r>
      <w:instrText xml:space="preserve"> CREATEDATE  \@ "d MMMM yyyy"  \* MERGEFORMAT </w:instrText>
    </w:r>
    <w:r>
      <w:fldChar w:fldCharType="separate"/>
    </w:r>
    <w:r w:rsidR="008E2C88">
      <w:rPr>
        <w:noProof/>
      </w:rPr>
      <w:t>2 March 2025</w:t>
    </w:r>
    <w:r>
      <w:fldChar w:fldCharType="end"/>
    </w:r>
  </w:p>
  <w:p w:rsidR="00241B94" w:rsidP="00241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28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32D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E4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B94"/>
    <w:pPr>
      <w:spacing w:before="360" w:after="60"/>
      <w:outlineLvl w:val="0"/>
    </w:pPr>
    <w:rPr>
      <w:sz w:val="32"/>
    </w:rPr>
  </w:style>
  <w:style w:type="paragraph" w:styleId="Heading2">
    <w:name w:val="heading 2"/>
    <w:basedOn w:val="HeadingBase"/>
    <w:next w:val="BodyText"/>
    <w:link w:val="Heading2Char"/>
    <w:qFormat/>
    <w:rsid w:val="00241B94"/>
    <w:pPr>
      <w:keepLines/>
      <w:spacing w:before="240" w:after="120"/>
      <w:outlineLvl w:val="1"/>
    </w:pPr>
    <w:rPr>
      <w:sz w:val="28"/>
      <w:szCs w:val="40"/>
    </w:rPr>
  </w:style>
  <w:style w:type="paragraph" w:styleId="Heading3">
    <w:name w:val="heading 3"/>
    <w:basedOn w:val="HeadingBase"/>
    <w:next w:val="BodyText"/>
    <w:link w:val="Heading3Char"/>
    <w:qFormat/>
    <w:rsid w:val="00241B94"/>
    <w:pPr>
      <w:spacing w:before="180" w:after="120"/>
      <w:outlineLvl w:val="2"/>
    </w:pPr>
    <w:rPr>
      <w:spacing w:val="-10"/>
      <w:kern w:val="32"/>
    </w:rPr>
  </w:style>
  <w:style w:type="paragraph" w:styleId="Heading4">
    <w:name w:val="heading 4"/>
    <w:basedOn w:val="HeadingBase"/>
    <w:next w:val="BodyText"/>
    <w:link w:val="Heading4Char"/>
    <w:qFormat/>
    <w:rsid w:val="00241B94"/>
    <w:pPr>
      <w:spacing w:before="160" w:after="120"/>
      <w:outlineLvl w:val="3"/>
    </w:pPr>
    <w:rPr>
      <w:sz w:val="22"/>
    </w:rPr>
  </w:style>
  <w:style w:type="paragraph" w:styleId="Heading5">
    <w:name w:val="heading 5"/>
    <w:basedOn w:val="HeadingBase"/>
    <w:next w:val="Normal"/>
    <w:link w:val="Heading5Char"/>
    <w:qFormat/>
    <w:rsid w:val="00241B94"/>
    <w:pPr>
      <w:spacing w:before="80"/>
      <w:outlineLvl w:val="4"/>
    </w:pPr>
    <w:rPr>
      <w:color w:val="918585"/>
      <w:sz w:val="20"/>
    </w:rPr>
  </w:style>
  <w:style w:type="paragraph" w:styleId="Heading6">
    <w:name w:val="heading 6"/>
    <w:basedOn w:val="HeadingBase"/>
    <w:next w:val="Normal"/>
    <w:link w:val="Heading6Char"/>
    <w:qFormat/>
    <w:rsid w:val="00241B94"/>
    <w:pPr>
      <w:spacing w:before="60"/>
      <w:outlineLvl w:val="5"/>
    </w:pPr>
    <w:rPr>
      <w:color w:val="918585"/>
      <w:sz w:val="20"/>
    </w:rPr>
  </w:style>
  <w:style w:type="paragraph" w:styleId="Heading7">
    <w:name w:val="heading 7"/>
    <w:basedOn w:val="Normal"/>
    <w:next w:val="Normal"/>
    <w:link w:val="Heading7Char"/>
    <w:qFormat/>
    <w:rsid w:val="00241B94"/>
    <w:pPr>
      <w:ind w:left="720"/>
      <w:outlineLvl w:val="6"/>
    </w:pPr>
    <w:rPr>
      <w:i/>
    </w:rPr>
  </w:style>
  <w:style w:type="paragraph" w:styleId="Heading8">
    <w:name w:val="heading 8"/>
    <w:basedOn w:val="Normal"/>
    <w:next w:val="Normal"/>
    <w:link w:val="Heading8Char"/>
    <w:qFormat/>
    <w:rsid w:val="00241B94"/>
    <w:pPr>
      <w:ind w:left="720"/>
      <w:outlineLvl w:val="7"/>
    </w:pPr>
    <w:rPr>
      <w:i/>
    </w:rPr>
  </w:style>
  <w:style w:type="paragraph" w:styleId="Heading9">
    <w:name w:val="heading 9"/>
    <w:basedOn w:val="Normal"/>
    <w:next w:val="Normal"/>
    <w:link w:val="Heading9Char"/>
    <w:qFormat/>
    <w:rsid w:val="00241B94"/>
    <w:pPr>
      <w:ind w:left="720"/>
      <w:outlineLvl w:val="8"/>
    </w:pPr>
    <w:rPr>
      <w:i/>
    </w:rPr>
  </w:style>
  <w:style w:type="character" w:default="1" w:styleId="DefaultParagraphFont">
    <w:name w:val="Default Paragraph Font"/>
    <w:uiPriority w:val="1"/>
    <w:unhideWhenUsed/>
    <w:rsid w:val="00241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B94"/>
  </w:style>
  <w:style w:type="character" w:customStyle="1" w:styleId="Heading1Char">
    <w:name w:val="Heading 1 Char"/>
    <w:basedOn w:val="DefaultParagraphFont"/>
    <w:link w:val="Heading1"/>
    <w:rsid w:val="00241B94"/>
    <w:rPr>
      <w:rFonts w:ascii="Times New Roman" w:eastAsia="Times New Roman" w:hAnsi="Times New Roman" w:cs="Times New Roman"/>
      <w:b/>
      <w:sz w:val="32"/>
      <w:szCs w:val="20"/>
      <w:lang w:eastAsia="en-US"/>
    </w:rPr>
  </w:style>
  <w:style w:type="paragraph" w:styleId="BodyText">
    <w:name w:val="Body Text"/>
    <w:basedOn w:val="Normal"/>
    <w:link w:val="BodyTextChar"/>
    <w:rsid w:val="00241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B94"/>
    <w:rPr>
      <w:rFonts w:ascii="Times New Roman" w:eastAsia="Times New Roman" w:hAnsi="Times New Roman" w:cs="Times New Roman"/>
      <w:sz w:val="24"/>
      <w:lang w:eastAsia="en-US"/>
    </w:rPr>
  </w:style>
  <w:style w:type="paragraph" w:styleId="ListBullet">
    <w:name w:val="List Bullet"/>
    <w:basedOn w:val="List"/>
    <w:rsid w:val="00241B94"/>
    <w:pPr>
      <w:numPr>
        <w:numId w:val="12"/>
      </w:numPr>
      <w:tabs>
        <w:tab w:val="clear" w:pos="340"/>
      </w:tabs>
      <w:spacing w:before="40" w:after="40"/>
    </w:pPr>
  </w:style>
  <w:style w:type="character" w:customStyle="1" w:styleId="SpecialBold">
    <w:name w:val="Special Bold"/>
    <w:basedOn w:val="DefaultParagraphFont"/>
    <w:rsid w:val="00241B94"/>
    <w:rPr>
      <w:b/>
      <w:spacing w:val="0"/>
    </w:rPr>
  </w:style>
  <w:style w:type="paragraph" w:styleId="ListBullet2">
    <w:name w:val="List Bullet 2"/>
    <w:basedOn w:val="List2"/>
    <w:rsid w:val="00241B94"/>
    <w:pPr>
      <w:numPr>
        <w:numId w:val="13"/>
      </w:numPr>
      <w:tabs>
        <w:tab w:val="clear" w:pos="680"/>
      </w:tabs>
    </w:pPr>
  </w:style>
  <w:style w:type="paragraph" w:customStyle="1" w:styleId="SuperHeading">
    <w:name w:val="SuperHeading"/>
    <w:basedOn w:val="Normal"/>
    <w:rsid w:val="00241B94"/>
    <w:pPr>
      <w:spacing w:before="240" w:after="120"/>
      <w:outlineLvl w:val="0"/>
    </w:pPr>
    <w:rPr>
      <w:rFonts w:ascii="Times New Roman" w:hAnsi="Times New Roman"/>
      <w:b/>
      <w:sz w:val="32"/>
    </w:rPr>
  </w:style>
  <w:style w:type="paragraph" w:customStyle="1" w:styleId="AllowPageBreak">
    <w:name w:val="AllowPageBreak"/>
    <w:rsid w:val="00241B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1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B94"/>
    <w:rPr>
      <w:rFonts w:ascii="Courier New" w:eastAsia="Times New Roman" w:hAnsi="Courier New" w:cs="Times New Roman"/>
      <w:i/>
      <w:szCs w:val="20"/>
      <w:lang w:eastAsia="en-US"/>
    </w:rPr>
  </w:style>
  <w:style w:type="paragraph" w:customStyle="1" w:styleId="HeadingBase">
    <w:name w:val="Heading Base"/>
    <w:rsid w:val="00241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B94"/>
    <w:pPr>
      <w:tabs>
        <w:tab w:val="right" w:leader="dot" w:pos="9072"/>
      </w:tabs>
      <w:ind w:left="567"/>
    </w:pPr>
    <w:rPr>
      <w:szCs w:val="22"/>
    </w:rPr>
  </w:style>
  <w:style w:type="paragraph" w:customStyle="1" w:styleId="TOCBase">
    <w:name w:val="TOC Base"/>
    <w:rsid w:val="00241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B94"/>
    <w:pPr>
      <w:tabs>
        <w:tab w:val="right" w:leader="dot" w:pos="9072"/>
      </w:tabs>
      <w:spacing w:before="40" w:after="40"/>
      <w:ind w:left="284"/>
    </w:pPr>
    <w:rPr>
      <w:rFonts w:ascii="Times New Roman" w:hAnsi="Times New Roman"/>
    </w:rPr>
  </w:style>
  <w:style w:type="paragraph" w:styleId="TOC1">
    <w:name w:val="toc 1"/>
    <w:basedOn w:val="TOCBase"/>
    <w:next w:val="Normal"/>
    <w:rsid w:val="00241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B94"/>
    <w:rPr>
      <w:rFonts w:ascii="Times New Roman" w:eastAsia="Times New Roman" w:hAnsi="Times New Roman" w:cs="Times New Roman"/>
      <w:sz w:val="16"/>
      <w:lang w:eastAsia="en-US"/>
    </w:rPr>
  </w:style>
  <w:style w:type="paragraph" w:styleId="Title">
    <w:name w:val="Title"/>
    <w:basedOn w:val="HeadingBase"/>
    <w:link w:val="TitleChar"/>
    <w:qFormat/>
    <w:rsid w:val="00241B94"/>
    <w:pPr>
      <w:spacing w:before="5040"/>
      <w:jc w:val="center"/>
    </w:pPr>
    <w:rPr>
      <w:sz w:val="48"/>
      <w:szCs w:val="72"/>
      <w:lang w:val="en-US"/>
    </w:rPr>
  </w:style>
  <w:style w:type="character" w:customStyle="1" w:styleId="TitleChar">
    <w:name w:val="Title Char"/>
    <w:basedOn w:val="DefaultParagraphFont"/>
    <w:link w:val="Title"/>
    <w:rsid w:val="00241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B94"/>
    <w:pPr>
      <w:tabs>
        <w:tab w:val="left" w:pos="3600"/>
        <w:tab w:val="left" w:pos="3958"/>
      </w:tabs>
    </w:pPr>
  </w:style>
  <w:style w:type="paragraph" w:styleId="List">
    <w:name w:val="List"/>
    <w:basedOn w:val="BodyText"/>
    <w:next w:val="BodyText"/>
    <w:rsid w:val="00241B94"/>
    <w:pPr>
      <w:tabs>
        <w:tab w:val="left" w:pos="340"/>
      </w:tabs>
      <w:spacing w:before="60" w:after="60"/>
      <w:ind w:left="340" w:hanging="340"/>
    </w:pPr>
  </w:style>
  <w:style w:type="paragraph" w:customStyle="1" w:styleId="Note">
    <w:name w:val="Note"/>
    <w:basedOn w:val="BodyText"/>
    <w:rsid w:val="00241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B94"/>
    <w:pPr>
      <w:framePr w:wrap="auto" w:hAnchor="text" w:y="6049"/>
    </w:pPr>
    <w:rPr>
      <w:color w:val="000000"/>
      <w:sz w:val="40"/>
    </w:rPr>
  </w:style>
  <w:style w:type="paragraph" w:customStyle="1" w:styleId="TOCTitle">
    <w:name w:val="TOCTitle"/>
    <w:basedOn w:val="Heading1"/>
    <w:rsid w:val="00241B94"/>
    <w:pPr>
      <w:spacing w:after="240"/>
      <w:jc w:val="center"/>
      <w:outlineLvl w:val="9"/>
    </w:pPr>
    <w:rPr>
      <w:caps/>
    </w:rPr>
  </w:style>
  <w:style w:type="paragraph" w:customStyle="1" w:styleId="Version">
    <w:name w:val="Version"/>
    <w:rsid w:val="00241B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B94"/>
    <w:pPr>
      <w:keepNext w:val="0"/>
      <w:tabs>
        <w:tab w:val="right" w:pos="4176"/>
      </w:tabs>
      <w:ind w:left="198" w:hanging="198"/>
    </w:pPr>
    <w:rPr>
      <w:rFonts w:ascii="Garamond" w:hAnsi="Garamond"/>
    </w:rPr>
  </w:style>
  <w:style w:type="paragraph" w:styleId="IndexHeading">
    <w:name w:val="index heading"/>
    <w:basedOn w:val="Normal"/>
    <w:next w:val="Index1"/>
    <w:semiHidden/>
    <w:rsid w:val="00241B94"/>
    <w:pPr>
      <w:spacing w:before="120" w:after="120"/>
    </w:pPr>
    <w:rPr>
      <w:rFonts w:ascii="Arial" w:hAnsi="Arial"/>
      <w:b/>
      <w:color w:val="918585"/>
      <w:sz w:val="24"/>
    </w:rPr>
  </w:style>
  <w:style w:type="paragraph" w:styleId="Header">
    <w:name w:val="header"/>
    <w:basedOn w:val="Normal"/>
    <w:link w:val="HeaderChar"/>
    <w:rsid w:val="00241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B94"/>
    <w:rPr>
      <w:rFonts w:ascii="Times New Roman" w:eastAsia="Times New Roman" w:hAnsi="Times New Roman" w:cs="Times New Roman"/>
      <w:sz w:val="16"/>
      <w:szCs w:val="20"/>
      <w:lang w:val="en-GB" w:eastAsia="en-US"/>
    </w:rPr>
  </w:style>
  <w:style w:type="paragraph" w:customStyle="1" w:styleId="Chapter">
    <w:name w:val="Chapter"/>
    <w:basedOn w:val="Normal"/>
    <w:rsid w:val="00241B94"/>
    <w:pPr>
      <w:spacing w:before="240"/>
    </w:pPr>
    <w:rPr>
      <w:rFonts w:ascii="Times New Roman" w:hAnsi="Times New Roman"/>
      <w:smallCaps/>
      <w:spacing w:val="80"/>
      <w:sz w:val="28"/>
    </w:rPr>
  </w:style>
  <w:style w:type="paragraph" w:customStyle="1" w:styleId="InChapter">
    <w:name w:val="InChapter"/>
    <w:basedOn w:val="Heading3"/>
    <w:rsid w:val="00241B94"/>
    <w:pPr>
      <w:spacing w:after="240"/>
      <w:outlineLvl w:val="9"/>
    </w:pPr>
    <w:rPr>
      <w:noProof/>
    </w:rPr>
  </w:style>
  <w:style w:type="paragraph" w:styleId="Index2">
    <w:name w:val="index 2"/>
    <w:basedOn w:val="Normal"/>
    <w:next w:val="Normal"/>
    <w:semiHidden/>
    <w:rsid w:val="00241B94"/>
    <w:pPr>
      <w:tabs>
        <w:tab w:val="right" w:pos="4176"/>
      </w:tabs>
      <w:ind w:left="568" w:hanging="284"/>
    </w:pPr>
    <w:rPr>
      <w:rFonts w:ascii="Garamond" w:hAnsi="Garamond"/>
    </w:rPr>
  </w:style>
  <w:style w:type="paragraph" w:customStyle="1" w:styleId="Byline">
    <w:name w:val="Byline"/>
    <w:rsid w:val="00241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B94"/>
    <w:pPr>
      <w:tabs>
        <w:tab w:val="clear" w:pos="3600"/>
        <w:tab w:val="clear" w:pos="3958"/>
      </w:tabs>
      <w:jc w:val="right"/>
    </w:pPr>
  </w:style>
  <w:style w:type="character" w:styleId="Emphasis">
    <w:name w:val="Emphasis"/>
    <w:basedOn w:val="DefaultParagraphFont"/>
    <w:qFormat/>
    <w:rsid w:val="00241B94"/>
    <w:rPr>
      <w:i/>
    </w:rPr>
  </w:style>
  <w:style w:type="paragraph" w:styleId="Caption">
    <w:name w:val="caption"/>
    <w:basedOn w:val="BodyText"/>
    <w:next w:val="Normal"/>
    <w:qFormat/>
    <w:rsid w:val="00241B94"/>
    <w:pPr>
      <w:framePr w:w="2268" w:hSpace="181" w:vSpace="181" w:wrap="around" w:vAnchor="text" w:hAnchor="page" w:x="1135" w:y="285" w:anchorLock="1"/>
    </w:pPr>
    <w:rPr>
      <w:i/>
    </w:rPr>
  </w:style>
  <w:style w:type="paragraph" w:customStyle="1" w:styleId="MiniTOCTitle">
    <w:name w:val="MiniTOCTitle"/>
    <w:basedOn w:val="Heading4"/>
    <w:rsid w:val="00241B94"/>
    <w:pPr>
      <w:spacing w:before="240"/>
      <w:outlineLvl w:val="9"/>
    </w:pPr>
    <w:rPr>
      <w:noProof/>
      <w:sz w:val="24"/>
    </w:rPr>
  </w:style>
  <w:style w:type="paragraph" w:customStyle="1" w:styleId="MiniTOCItem">
    <w:name w:val="MiniTOCItem"/>
    <w:basedOn w:val="ListBullet"/>
    <w:rsid w:val="00241B94"/>
    <w:pPr>
      <w:numPr>
        <w:numId w:val="0"/>
      </w:numPr>
      <w:tabs>
        <w:tab w:val="right" w:leader="dot" w:pos="6521"/>
      </w:tabs>
      <w:spacing w:before="0" w:after="0"/>
    </w:pPr>
  </w:style>
  <w:style w:type="paragraph" w:customStyle="1" w:styleId="TOFTitle">
    <w:name w:val="TOFTitle"/>
    <w:basedOn w:val="TOCTitle"/>
    <w:rsid w:val="00241B94"/>
  </w:style>
  <w:style w:type="paragraph" w:styleId="TableofFigures">
    <w:name w:val="table of figures"/>
    <w:basedOn w:val="Normal"/>
    <w:next w:val="Normal"/>
    <w:semiHidden/>
    <w:rsid w:val="00241B94"/>
    <w:pPr>
      <w:tabs>
        <w:tab w:val="right" w:leader="dot" w:pos="9072"/>
      </w:tabs>
      <w:ind w:left="970" w:hanging="403"/>
    </w:pPr>
    <w:rPr>
      <w:rFonts w:ascii="Times New Roman" w:hAnsi="Times New Roman"/>
      <w:b/>
    </w:rPr>
  </w:style>
  <w:style w:type="paragraph" w:styleId="ListNumber">
    <w:name w:val="List Number"/>
    <w:basedOn w:val="List"/>
    <w:rsid w:val="00241B94"/>
    <w:pPr>
      <w:numPr>
        <w:numId w:val="15"/>
      </w:numPr>
      <w:tabs>
        <w:tab w:val="clear" w:pos="340"/>
      </w:tabs>
    </w:pPr>
  </w:style>
  <w:style w:type="character" w:customStyle="1" w:styleId="WingdingSymbols">
    <w:name w:val="Wingding Symbols"/>
    <w:rsid w:val="00241B94"/>
    <w:rPr>
      <w:rFonts w:ascii="Wingdings" w:hAnsi="Wingdings"/>
    </w:rPr>
  </w:style>
  <w:style w:type="paragraph" w:customStyle="1" w:styleId="TableHeading">
    <w:name w:val="Table Heading"/>
    <w:basedOn w:val="HeadingBase"/>
    <w:rsid w:val="00241B94"/>
    <w:pPr>
      <w:keepLines/>
      <w:pBdr>
        <w:bottom w:val="single" w:sz="6" w:space="1" w:color="918585"/>
      </w:pBdr>
      <w:spacing w:before="240"/>
    </w:pPr>
  </w:style>
  <w:style w:type="character" w:customStyle="1" w:styleId="HotSpot">
    <w:name w:val="HotSpot"/>
    <w:rsid w:val="00241B94"/>
    <w:rPr>
      <w:color w:val="0033CC"/>
      <w:u w:val="none"/>
    </w:rPr>
  </w:style>
  <w:style w:type="paragraph" w:customStyle="1" w:styleId="BodyTextRight">
    <w:name w:val="Body Text Right"/>
    <w:basedOn w:val="BodyText"/>
    <w:rsid w:val="00241B94"/>
    <w:pPr>
      <w:spacing w:before="0" w:after="0"/>
      <w:jc w:val="right"/>
    </w:pPr>
  </w:style>
  <w:style w:type="paragraph" w:styleId="Index3">
    <w:name w:val="index 3"/>
    <w:basedOn w:val="ListNumber2"/>
    <w:next w:val="Normal"/>
    <w:semiHidden/>
    <w:rsid w:val="00241B94"/>
    <w:pPr>
      <w:numPr>
        <w:numId w:val="0"/>
      </w:numPr>
      <w:tabs>
        <w:tab w:val="right" w:leader="dot" w:pos="4176"/>
      </w:tabs>
    </w:pPr>
  </w:style>
  <w:style w:type="paragraph" w:styleId="ListNumber2">
    <w:name w:val="List Number 2"/>
    <w:basedOn w:val="List2"/>
    <w:rsid w:val="00241B94"/>
    <w:pPr>
      <w:numPr>
        <w:numId w:val="10"/>
      </w:numPr>
      <w:tabs>
        <w:tab w:val="clear" w:pos="1060"/>
      </w:tabs>
    </w:pPr>
  </w:style>
  <w:style w:type="paragraph" w:customStyle="1" w:styleId="MarginNote">
    <w:name w:val="Margin Note"/>
    <w:basedOn w:val="BodyText"/>
    <w:rsid w:val="00241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B94"/>
    <w:rPr>
      <w:sz w:val="32"/>
    </w:rPr>
  </w:style>
  <w:style w:type="paragraph" w:customStyle="1" w:styleId="HeadingProcedure">
    <w:name w:val="Heading Procedure"/>
    <w:basedOn w:val="HeadingBase"/>
    <w:next w:val="Normal"/>
    <w:rsid w:val="00241B94"/>
    <w:pPr>
      <w:tabs>
        <w:tab w:val="left" w:pos="0"/>
      </w:tabs>
      <w:spacing w:before="120" w:after="60"/>
    </w:pPr>
    <w:rPr>
      <w:i/>
      <w:color w:val="918585"/>
      <w:sz w:val="22"/>
    </w:rPr>
  </w:style>
  <w:style w:type="paragraph" w:customStyle="1" w:styleId="TableBodyText">
    <w:name w:val="Table Body Text"/>
    <w:basedOn w:val="BodyText"/>
    <w:rsid w:val="00241B94"/>
    <w:pPr>
      <w:spacing w:before="60" w:after="60"/>
    </w:pPr>
  </w:style>
  <w:style w:type="paragraph" w:styleId="ListContinue">
    <w:name w:val="List Continue"/>
    <w:basedOn w:val="List"/>
    <w:rsid w:val="00241B94"/>
    <w:pPr>
      <w:ind w:firstLine="0"/>
    </w:pPr>
  </w:style>
  <w:style w:type="paragraph" w:customStyle="1" w:styleId="ListNote">
    <w:name w:val="List Note"/>
    <w:basedOn w:val="List"/>
    <w:rsid w:val="00241B94"/>
    <w:pPr>
      <w:pBdr>
        <w:top w:val="single" w:sz="6" w:space="2" w:color="918585"/>
        <w:bottom w:val="single" w:sz="6" w:space="2" w:color="918585"/>
      </w:pBdr>
      <w:tabs>
        <w:tab w:val="left" w:pos="1021"/>
      </w:tabs>
      <w:ind w:firstLine="0"/>
    </w:pPr>
  </w:style>
  <w:style w:type="paragraph" w:customStyle="1" w:styleId="Warning">
    <w:name w:val="Warning"/>
    <w:basedOn w:val="BodyText"/>
    <w:rsid w:val="00241B94"/>
    <w:pPr>
      <w:shd w:val="clear" w:color="auto" w:fill="D9D9D9"/>
      <w:tabs>
        <w:tab w:val="left" w:pos="992"/>
      </w:tabs>
      <w:ind w:left="119" w:right="119"/>
    </w:pPr>
    <w:rPr>
      <w:sz w:val="20"/>
    </w:rPr>
  </w:style>
  <w:style w:type="paragraph" w:customStyle="1" w:styleId="MarginIcons">
    <w:name w:val="Margin Icons"/>
    <w:basedOn w:val="BodyText"/>
    <w:rsid w:val="00241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B94"/>
    <w:rPr>
      <w:rFonts w:ascii="Courier New" w:hAnsi="Courier New"/>
    </w:rPr>
  </w:style>
  <w:style w:type="paragraph" w:customStyle="1" w:styleId="NoteBullet">
    <w:name w:val="Note Bullet"/>
    <w:basedOn w:val="Note"/>
    <w:rsid w:val="00241B94"/>
    <w:pPr>
      <w:tabs>
        <w:tab w:val="clear" w:pos="680"/>
      </w:tabs>
      <w:spacing w:before="60" w:after="60"/>
    </w:pPr>
  </w:style>
  <w:style w:type="paragraph" w:customStyle="1" w:styleId="SubHeading2">
    <w:name w:val="SubHeading2"/>
    <w:basedOn w:val="HeadingBase"/>
    <w:rsid w:val="00241B94"/>
    <w:pPr>
      <w:spacing w:before="240" w:after="60"/>
    </w:pPr>
    <w:rPr>
      <w:sz w:val="20"/>
    </w:rPr>
  </w:style>
  <w:style w:type="paragraph" w:customStyle="1" w:styleId="SubHeading1">
    <w:name w:val="SubHeading1"/>
    <w:basedOn w:val="HeadingBase"/>
    <w:rsid w:val="00241B94"/>
    <w:pPr>
      <w:spacing w:before="240" w:after="60"/>
    </w:pPr>
    <w:rPr>
      <w:color w:val="918585"/>
      <w:sz w:val="22"/>
    </w:rPr>
  </w:style>
  <w:style w:type="paragraph" w:customStyle="1" w:styleId="SideHeading">
    <w:name w:val="Side Heading"/>
    <w:basedOn w:val="HeadingBase"/>
    <w:rsid w:val="00241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B94"/>
    <w:pPr>
      <w:tabs>
        <w:tab w:val="num" w:pos="360"/>
      </w:tabs>
    </w:pPr>
  </w:style>
  <w:style w:type="paragraph" w:styleId="PlainText">
    <w:name w:val="Plain Text"/>
    <w:basedOn w:val="Normal"/>
    <w:link w:val="PlainTextChar"/>
    <w:rsid w:val="00241B94"/>
    <w:rPr>
      <w:sz w:val="20"/>
    </w:rPr>
  </w:style>
  <w:style w:type="character" w:customStyle="1" w:styleId="PlainTextChar">
    <w:name w:val="Plain Text Char"/>
    <w:basedOn w:val="DefaultParagraphFont"/>
    <w:link w:val="PlainText"/>
    <w:rsid w:val="00241B94"/>
    <w:rPr>
      <w:rFonts w:ascii="Courier New" w:eastAsia="Times New Roman" w:hAnsi="Courier New" w:cs="Times New Roman"/>
      <w:sz w:val="20"/>
      <w:szCs w:val="20"/>
      <w:lang w:eastAsia="en-US"/>
    </w:rPr>
  </w:style>
  <w:style w:type="character" w:customStyle="1" w:styleId="MenuOption">
    <w:name w:val="Menu Option"/>
    <w:basedOn w:val="DefaultParagraphFont"/>
    <w:rsid w:val="00241B94"/>
    <w:rPr>
      <w:b/>
      <w:smallCaps/>
    </w:rPr>
  </w:style>
  <w:style w:type="paragraph" w:customStyle="1" w:styleId="TableListNumber">
    <w:name w:val="Table List Number"/>
    <w:basedOn w:val="ListNumber"/>
    <w:rsid w:val="00241B94"/>
    <w:pPr>
      <w:numPr>
        <w:numId w:val="0"/>
      </w:numPr>
    </w:pPr>
  </w:style>
  <w:style w:type="paragraph" w:styleId="TOC4">
    <w:name w:val="toc 4"/>
    <w:basedOn w:val="TOCBase"/>
    <w:next w:val="Normal"/>
    <w:semiHidden/>
    <w:rsid w:val="00241B94"/>
    <w:pPr>
      <w:tabs>
        <w:tab w:val="right" w:leader="dot" w:pos="9071"/>
      </w:tabs>
      <w:ind w:left="1701"/>
    </w:pPr>
  </w:style>
  <w:style w:type="paragraph" w:customStyle="1" w:styleId="ListAlpha">
    <w:name w:val="List Alpha"/>
    <w:basedOn w:val="List"/>
    <w:rsid w:val="00241B94"/>
    <w:pPr>
      <w:numPr>
        <w:numId w:val="9"/>
      </w:numPr>
    </w:pPr>
  </w:style>
  <w:style w:type="paragraph" w:customStyle="1" w:styleId="ListAlpha2">
    <w:name w:val="List Alpha 2"/>
    <w:basedOn w:val="List2"/>
    <w:rsid w:val="00241B94"/>
    <w:pPr>
      <w:numPr>
        <w:numId w:val="8"/>
      </w:numPr>
    </w:pPr>
  </w:style>
  <w:style w:type="paragraph" w:styleId="List2">
    <w:name w:val="List 2"/>
    <w:basedOn w:val="BodyText"/>
    <w:rsid w:val="00241B94"/>
    <w:pPr>
      <w:tabs>
        <w:tab w:val="left" w:pos="680"/>
      </w:tabs>
      <w:spacing w:before="60" w:after="60"/>
      <w:ind w:left="680" w:hanging="340"/>
    </w:pPr>
  </w:style>
  <w:style w:type="paragraph" w:styleId="List3">
    <w:name w:val="List 3"/>
    <w:basedOn w:val="BodyText"/>
    <w:rsid w:val="00241B94"/>
    <w:pPr>
      <w:tabs>
        <w:tab w:val="left" w:pos="1021"/>
      </w:tabs>
      <w:spacing w:before="60" w:after="60"/>
      <w:ind w:left="1020" w:hanging="340"/>
    </w:pPr>
  </w:style>
  <w:style w:type="paragraph" w:styleId="List4">
    <w:name w:val="List 4"/>
    <w:basedOn w:val="BodyText"/>
    <w:rsid w:val="00241B94"/>
    <w:pPr>
      <w:tabs>
        <w:tab w:val="left" w:pos="1361"/>
      </w:tabs>
      <w:spacing w:before="60" w:after="60"/>
      <w:ind w:left="1361" w:hanging="340"/>
    </w:pPr>
  </w:style>
  <w:style w:type="paragraph" w:styleId="List5">
    <w:name w:val="List 5"/>
    <w:basedOn w:val="BodyText"/>
    <w:rsid w:val="00241B94"/>
    <w:pPr>
      <w:tabs>
        <w:tab w:val="left" w:pos="1701"/>
      </w:tabs>
      <w:spacing w:before="60" w:after="60"/>
      <w:ind w:left="1701" w:hanging="340"/>
    </w:pPr>
  </w:style>
  <w:style w:type="paragraph" w:styleId="ListBullet3">
    <w:name w:val="List Bullet 3"/>
    <w:basedOn w:val="List3"/>
    <w:rsid w:val="00241B94"/>
    <w:pPr>
      <w:numPr>
        <w:numId w:val="14"/>
      </w:numPr>
      <w:tabs>
        <w:tab w:val="clear" w:pos="1021"/>
      </w:tabs>
      <w:ind w:left="1037" w:hanging="357"/>
    </w:pPr>
  </w:style>
  <w:style w:type="paragraph" w:styleId="ListBullet4">
    <w:name w:val="List Bullet 4"/>
    <w:basedOn w:val="List4"/>
    <w:rsid w:val="00241B94"/>
    <w:pPr>
      <w:numPr>
        <w:numId w:val="3"/>
      </w:numPr>
      <w:tabs>
        <w:tab w:val="clear" w:pos="1361"/>
      </w:tabs>
    </w:pPr>
  </w:style>
  <w:style w:type="paragraph" w:styleId="ListBullet5">
    <w:name w:val="List Bullet 5"/>
    <w:basedOn w:val="List5"/>
    <w:rsid w:val="00241B94"/>
    <w:pPr>
      <w:numPr>
        <w:numId w:val="4"/>
      </w:numPr>
    </w:pPr>
  </w:style>
  <w:style w:type="paragraph" w:styleId="ListContinue2">
    <w:name w:val="List Continue 2"/>
    <w:basedOn w:val="List2"/>
    <w:rsid w:val="00241B94"/>
    <w:pPr>
      <w:ind w:firstLine="0"/>
    </w:pPr>
  </w:style>
  <w:style w:type="paragraph" w:styleId="ListContinue3">
    <w:name w:val="List Continue 3"/>
    <w:basedOn w:val="List3"/>
    <w:rsid w:val="00241B94"/>
    <w:pPr>
      <w:ind w:left="1021" w:firstLine="0"/>
    </w:pPr>
  </w:style>
  <w:style w:type="paragraph" w:styleId="ListContinue4">
    <w:name w:val="List Continue 4"/>
    <w:basedOn w:val="List4"/>
    <w:rsid w:val="00241B94"/>
    <w:pPr>
      <w:ind w:firstLine="0"/>
    </w:pPr>
  </w:style>
  <w:style w:type="paragraph" w:styleId="ListContinue5">
    <w:name w:val="List Continue 5"/>
    <w:basedOn w:val="List5"/>
    <w:rsid w:val="00241B94"/>
    <w:pPr>
      <w:ind w:firstLine="0"/>
    </w:pPr>
  </w:style>
  <w:style w:type="paragraph" w:styleId="ListNumber3">
    <w:name w:val="List Number 3"/>
    <w:basedOn w:val="List3"/>
    <w:rsid w:val="00241B94"/>
    <w:pPr>
      <w:numPr>
        <w:numId w:val="5"/>
      </w:numPr>
    </w:pPr>
  </w:style>
  <w:style w:type="paragraph" w:styleId="ListNumber4">
    <w:name w:val="List Number 4"/>
    <w:basedOn w:val="List4"/>
    <w:rsid w:val="00241B94"/>
    <w:pPr>
      <w:numPr>
        <w:numId w:val="6"/>
      </w:numPr>
    </w:pPr>
  </w:style>
  <w:style w:type="paragraph" w:styleId="ListNumber5">
    <w:name w:val="List Number 5"/>
    <w:basedOn w:val="List5"/>
    <w:rsid w:val="00241B94"/>
    <w:pPr>
      <w:numPr>
        <w:numId w:val="7"/>
      </w:numPr>
    </w:pPr>
  </w:style>
  <w:style w:type="paragraph" w:styleId="BlockText">
    <w:name w:val="Block Text"/>
    <w:basedOn w:val="Normal"/>
    <w:rsid w:val="00241B94"/>
    <w:pPr>
      <w:spacing w:after="120"/>
      <w:ind w:left="1440" w:right="1440"/>
    </w:pPr>
  </w:style>
  <w:style w:type="character" w:customStyle="1" w:styleId="Subscript">
    <w:name w:val="Subscript"/>
    <w:basedOn w:val="DefaultParagraphFont"/>
    <w:rsid w:val="00241B94"/>
    <w:rPr>
      <w:sz w:val="16"/>
      <w:vertAlign w:val="subscript"/>
    </w:rPr>
  </w:style>
  <w:style w:type="character" w:customStyle="1" w:styleId="Superscript">
    <w:name w:val="Superscript"/>
    <w:basedOn w:val="DefaultParagraphFont"/>
    <w:rsid w:val="00241B94"/>
    <w:rPr>
      <w:sz w:val="16"/>
      <w:vertAlign w:val="superscript"/>
    </w:rPr>
  </w:style>
  <w:style w:type="character" w:customStyle="1" w:styleId="Symbols">
    <w:name w:val="Symbols"/>
    <w:basedOn w:val="DefaultParagraphFont"/>
    <w:rsid w:val="00241B94"/>
    <w:rPr>
      <w:rFonts w:ascii="Symbol" w:hAnsi="Symbol"/>
    </w:rPr>
  </w:style>
  <w:style w:type="character" w:customStyle="1" w:styleId="MenuOptions">
    <w:name w:val="Menu Options"/>
    <w:basedOn w:val="DefaultParagraphFont"/>
    <w:rsid w:val="00241B94"/>
    <w:rPr>
      <w:rFonts w:ascii="Arial Narrow" w:hAnsi="Arial Narrow"/>
      <w:smallCaps/>
    </w:rPr>
  </w:style>
  <w:style w:type="character" w:customStyle="1" w:styleId="Buttons">
    <w:name w:val="Buttons"/>
    <w:basedOn w:val="DefaultParagraphFont"/>
    <w:rsid w:val="00241B94"/>
    <w:rPr>
      <w:b/>
    </w:rPr>
  </w:style>
  <w:style w:type="character" w:customStyle="1" w:styleId="Underlined">
    <w:name w:val="Underlined"/>
    <w:basedOn w:val="DefaultParagraphFont"/>
    <w:rsid w:val="00241B94"/>
    <w:rPr>
      <w:u w:val="single"/>
    </w:rPr>
  </w:style>
  <w:style w:type="paragraph" w:customStyle="1" w:styleId="TableBodyTextRight">
    <w:name w:val="Table Body Text Right"/>
    <w:basedOn w:val="TableBodyText"/>
    <w:rsid w:val="00241B94"/>
    <w:pPr>
      <w:widowControl w:val="0"/>
      <w:autoSpaceDE w:val="0"/>
      <w:autoSpaceDN w:val="0"/>
      <w:adjustRightInd w:val="0"/>
      <w:jc w:val="right"/>
    </w:pPr>
    <w:rPr>
      <w:rFonts w:cs="Arial"/>
      <w:szCs w:val="18"/>
    </w:rPr>
  </w:style>
  <w:style w:type="paragraph" w:customStyle="1" w:styleId="CopyrightText">
    <w:name w:val="Copyright Text"/>
    <w:basedOn w:val="BodyText"/>
    <w:rsid w:val="00241B94"/>
    <w:rPr>
      <w:sz w:val="18"/>
    </w:rPr>
  </w:style>
  <w:style w:type="paragraph" w:customStyle="1" w:styleId="BodySmallRight">
    <w:name w:val="Body Small Right"/>
    <w:basedOn w:val="BodyTextRight"/>
    <w:rsid w:val="00241B94"/>
    <w:rPr>
      <w:sz w:val="18"/>
      <w:szCs w:val="18"/>
    </w:rPr>
  </w:style>
  <w:style w:type="paragraph" w:customStyle="1" w:styleId="MarginEdition">
    <w:name w:val="Margin Edition"/>
    <w:basedOn w:val="MarginNote"/>
    <w:rsid w:val="00241B94"/>
    <w:pPr>
      <w:spacing w:before="0" w:after="0"/>
    </w:pPr>
    <w:rPr>
      <w:rFonts w:ascii="Times New Roman" w:hAnsi="Times New Roman"/>
      <w:color w:val="999999"/>
    </w:rPr>
  </w:style>
  <w:style w:type="paragraph" w:customStyle="1" w:styleId="Spacer">
    <w:name w:val="Spacer"/>
    <w:basedOn w:val="Normal"/>
    <w:rsid w:val="00241B94"/>
    <w:rPr>
      <w:sz w:val="2"/>
      <w:szCs w:val="2"/>
    </w:rPr>
  </w:style>
  <w:style w:type="character" w:customStyle="1" w:styleId="Small">
    <w:name w:val="Small"/>
    <w:basedOn w:val="DefaultParagraphFont"/>
    <w:rsid w:val="00241B94"/>
    <w:rPr>
      <w:sz w:val="16"/>
    </w:rPr>
  </w:style>
  <w:style w:type="paragraph" w:customStyle="1" w:styleId="WideTable">
    <w:name w:val="Wide Table"/>
    <w:basedOn w:val="Normal"/>
    <w:rsid w:val="00241B94"/>
    <w:pPr>
      <w:ind w:left="-1418"/>
    </w:pPr>
    <w:rPr>
      <w:sz w:val="2"/>
      <w:szCs w:val="2"/>
    </w:rPr>
  </w:style>
  <w:style w:type="character" w:styleId="PageNumber">
    <w:name w:val="page number"/>
    <w:basedOn w:val="DefaultParagraphFont"/>
    <w:rsid w:val="00241B94"/>
  </w:style>
  <w:style w:type="paragraph" w:styleId="Quote">
    <w:name w:val="Quote"/>
    <w:basedOn w:val="Heading1"/>
    <w:link w:val="QuoteChar"/>
    <w:qFormat/>
    <w:rsid w:val="00241B94"/>
    <w:rPr>
      <w:b w:val="0"/>
      <w:sz w:val="72"/>
      <w:szCs w:val="72"/>
      <w:lang w:val="en-NZ"/>
    </w:rPr>
  </w:style>
  <w:style w:type="character" w:customStyle="1" w:styleId="QuoteChar">
    <w:name w:val="Quote Char"/>
    <w:basedOn w:val="DefaultParagraphFont"/>
    <w:link w:val="Quote"/>
    <w:rsid w:val="00241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B94"/>
    <w:pPr>
      <w:pageBreakBefore/>
    </w:pPr>
  </w:style>
  <w:style w:type="paragraph" w:customStyle="1" w:styleId="Border">
    <w:name w:val="Border"/>
    <w:basedOn w:val="Normal"/>
    <w:qFormat/>
    <w:rsid w:val="00241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B94"/>
    <w:rPr>
      <w:b/>
      <w:bCs/>
      <w:i/>
      <w:iCs/>
      <w:color w:val="auto"/>
    </w:rPr>
  </w:style>
  <w:style w:type="paragraph" w:styleId="IntenseQuote">
    <w:name w:val="Intense Quote"/>
    <w:basedOn w:val="Normal"/>
    <w:next w:val="Normal"/>
    <w:link w:val="IntenseQuoteChar"/>
    <w:uiPriority w:val="30"/>
    <w:qFormat/>
    <w:rsid w:val="00241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B94"/>
    <w:rPr>
      <w:smallCaps/>
      <w:color w:val="auto"/>
      <w:u w:val="single"/>
    </w:rPr>
  </w:style>
  <w:style w:type="character" w:styleId="IntenseReference">
    <w:name w:val="Intense Reference"/>
    <w:basedOn w:val="DefaultParagraphFont"/>
    <w:uiPriority w:val="32"/>
    <w:qFormat/>
    <w:rsid w:val="00241B94"/>
    <w:rPr>
      <w:b/>
      <w:bCs/>
      <w:smallCaps/>
      <w:color w:val="auto"/>
      <w:spacing w:val="5"/>
      <w:u w:val="single"/>
    </w:rPr>
  </w:style>
  <w:style w:type="paragraph" w:customStyle="1" w:styleId="2ColumnHeading">
    <w:name w:val="2Column Heading"/>
    <w:basedOn w:val="BodyText"/>
    <w:qFormat/>
    <w:rsid w:val="00241B94"/>
    <w:pPr>
      <w:spacing w:after="60"/>
      <w:ind w:left="-2268"/>
    </w:pPr>
    <w:rPr>
      <w:b/>
    </w:rPr>
  </w:style>
  <w:style w:type="paragraph" w:customStyle="1" w:styleId="Heading1TOC">
    <w:name w:val="Heading1 TOC"/>
    <w:basedOn w:val="Normal"/>
    <w:qFormat/>
    <w:rsid w:val="00241B94"/>
    <w:pPr>
      <w:spacing w:before="240" w:after="120"/>
    </w:pPr>
    <w:rPr>
      <w:rFonts w:ascii="Times New Roman" w:hAnsi="Times New Roman"/>
      <w:b/>
      <w:sz w:val="32"/>
    </w:rPr>
  </w:style>
  <w:style w:type="paragraph" w:customStyle="1" w:styleId="Heading2TOC">
    <w:name w:val="Heading2 TOC"/>
    <w:basedOn w:val="Normal"/>
    <w:qFormat/>
    <w:rsid w:val="00241B94"/>
    <w:pPr>
      <w:spacing w:before="240" w:after="60"/>
    </w:pPr>
    <w:rPr>
      <w:rFonts w:ascii="Times New Roman" w:hAnsi="Times New Roman"/>
      <w:b/>
      <w:sz w:val="28"/>
    </w:rPr>
  </w:style>
  <w:style w:type="character" w:customStyle="1" w:styleId="Underline">
    <w:name w:val="Underline"/>
    <w:basedOn w:val="DefaultParagraphFont"/>
    <w:qFormat/>
    <w:rsid w:val="00241B94"/>
    <w:rPr>
      <w:u w:val="single"/>
    </w:rPr>
  </w:style>
  <w:style w:type="character" w:customStyle="1" w:styleId="BoldandItalics">
    <w:name w:val="Bold and Italics"/>
    <w:qFormat/>
    <w:rsid w:val="00241B94"/>
    <w:rPr>
      <w:b/>
      <w:i/>
      <w:u w:val="none"/>
    </w:rPr>
  </w:style>
  <w:style w:type="paragraph" w:styleId="BalloonText">
    <w:name w:val="Balloon Text"/>
    <w:basedOn w:val="Normal"/>
    <w:link w:val="BalloonTextChar"/>
    <w:rsid w:val="00241B94"/>
    <w:rPr>
      <w:rFonts w:ascii="Tahoma" w:hAnsi="Tahoma" w:cs="Tahoma"/>
      <w:sz w:val="16"/>
      <w:szCs w:val="16"/>
    </w:rPr>
  </w:style>
  <w:style w:type="character" w:customStyle="1" w:styleId="BalloonTextChar">
    <w:name w:val="Balloon Text Char"/>
    <w:basedOn w:val="DefaultParagraphFont"/>
    <w:link w:val="BalloonText"/>
    <w:rsid w:val="00241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B94"/>
    <w:rPr>
      <w:b/>
      <w:color w:val="660033"/>
      <w:spacing w:val="0"/>
    </w:rPr>
  </w:style>
  <w:style w:type="paragraph" w:customStyle="1" w:styleId="Nameditemlist">
    <w:name w:val="Named item list"/>
    <w:basedOn w:val="BodyText"/>
    <w:qFormat/>
    <w:rsid w:val="00241B94"/>
    <w:pPr>
      <w:tabs>
        <w:tab w:val="left" w:pos="2835"/>
      </w:tabs>
      <w:ind w:left="2835" w:hanging="2835"/>
    </w:pPr>
  </w:style>
  <w:style w:type="paragraph" w:customStyle="1" w:styleId="BodyTextnopadding">
    <w:name w:val="Body Text no padding"/>
    <w:basedOn w:val="BodyText"/>
    <w:qFormat/>
    <w:rsid w:val="00241B94"/>
    <w:pPr>
      <w:spacing w:before="0" w:after="0"/>
    </w:pPr>
  </w:style>
  <w:style w:type="paragraph" w:customStyle="1" w:styleId="BodyTextBold">
    <w:name w:val="Body Text Bold"/>
    <w:basedOn w:val="BodyText"/>
    <w:qFormat/>
    <w:rsid w:val="00241B94"/>
    <w:rPr>
      <w:b/>
    </w:rPr>
  </w:style>
  <w:style w:type="character" w:styleId="Hyperlink">
    <w:name w:val="Hyperlink"/>
    <w:basedOn w:val="DefaultParagraphFont"/>
    <w:uiPriority w:val="99"/>
    <w:unhideWhenUsed/>
    <w:rsid w:val="008E2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1657</Words>
  <Characters>11059</Characters>
  <Application>Microsoft Office Word</Application>
  <DocSecurity>0</DocSecurity>
  <Lines>345</Lines>
  <Paragraphs>169</Paragraphs>
  <ScaleCrop>false</ScaleCrop>
  <Company>Author-it Software Corporation Ltd.</Company>
  <LinksUpToDate>false</LinksUpToDate>
  <CharactersWithSpaces>12547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UETDRTS013 Install and replace high voltage metering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