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2AB" w:rsidP="00D22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UETDRTS005 Commission power systems metering schemes</w:t>
      </w:r>
      <w:r>
        <w:fldChar w:fldCharType="end"/>
      </w:r>
    </w:p>
    <w:p w:rsidR="00D222AB" w:rsidP="00D222AB">
      <w:pPr>
        <w:pStyle w:val="Version"/>
        <w:sectPr w:rsidSect="00177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279" w:rsidP="00177279">
      <w:pPr>
        <w:pStyle w:val="SuperHeading"/>
      </w:pPr>
      <w:r w:rsidRPr="00177279">
        <w:t>UETDRTS005 Commission power systems metering schemes</w:t>
      </w:r>
    </w:p>
    <w:p w:rsidR="00000000" w:rsidRPr="00177279" w:rsidP="00177279">
      <w:pPr>
        <w:pStyle w:val="Heading1"/>
      </w:pPr>
      <w:bookmarkStart w:id="1" w:name="O_1178643"/>
      <w:bookmarkEnd w:id="1"/>
      <w:r w:rsidRPr="001772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2" w:name="O_1178644"/>
      <w:bookmarkEnd w:id="2"/>
      <w:r w:rsidRPr="001772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This unit covers the commissioning o</w:t>
            </w:r>
            <w:r w:rsidRPr="00177279">
              <w:t>f metering schemes and includes isolation, inspection, monitoring, testing and adjustment; and repair, refurbishment and/or overhaul and function checks on schemes including ammeters, voltmeters, wattmeters, volt-ampere reactive (VAR) meters and energy met</w:t>
            </w:r>
            <w:r w:rsidRPr="00177279">
              <w:t>ering. It also includes an emphasis on ensuring that the metering is connected into the power system safely and correctly and that it returns valid information.</w:t>
            </w:r>
          </w:p>
          <w:p w:rsidR="00000000" w:rsidRPr="00177279" w:rsidP="00177279">
            <w:pPr>
              <w:pStyle w:val="BodyText"/>
            </w:pPr>
            <w:r w:rsidRPr="00177279">
              <w:t>The application of the skills and knowledge described in this unit may require a licence/regist</w:t>
            </w:r>
            <w:r w:rsidRPr="00177279">
              <w:t xml:space="preserve">ration to practice in the workplace subject to regulations for undertaking of electrical work.  </w:t>
            </w:r>
          </w:p>
          <w:p w:rsidR="00000000" w:rsidRPr="00177279" w:rsidP="00177279">
            <w:pPr>
              <w:pStyle w:val="BodyText"/>
            </w:pPr>
            <w:r w:rsidRPr="00177279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3" w:name="O_1178645"/>
      <w:bookmarkEnd w:id="3"/>
      <w:r w:rsidRPr="001772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UEENEED104A Use engineering applications software on personal computers</w:t>
            </w:r>
          </w:p>
          <w:p w:rsidR="00000000" w:rsidRPr="00177279" w:rsidP="00177279">
            <w:pPr>
              <w:pStyle w:val="BodyText"/>
            </w:pPr>
            <w:r w:rsidRPr="00177279">
              <w:t>UEENEEE101A Apply Occupational Health and Safety regulations, codes and practices in the workplace</w:t>
            </w:r>
          </w:p>
          <w:p w:rsidR="00000000" w:rsidRPr="00177279" w:rsidP="00177279">
            <w:pPr>
              <w:pStyle w:val="BodyText"/>
            </w:pPr>
            <w:r w:rsidRPr="00177279">
              <w:t xml:space="preserve">UEENEEE102A Fabricate, assemble and dismantle </w:t>
            </w:r>
            <w:r w:rsidRPr="00177279">
              <w:t>utilities industry components</w:t>
            </w:r>
          </w:p>
          <w:p w:rsidR="00000000" w:rsidRPr="00177279" w:rsidP="00177279">
            <w:pPr>
              <w:pStyle w:val="BodyText"/>
            </w:pPr>
            <w:r w:rsidRPr="00177279">
              <w:t>UEENEEE104A Solve problems in d.c. circuits</w:t>
            </w:r>
          </w:p>
          <w:p w:rsidR="00000000" w:rsidRPr="00177279" w:rsidP="00177279">
            <w:pPr>
              <w:pStyle w:val="BodyText"/>
            </w:pPr>
            <w:r w:rsidRPr="00177279">
              <w:t>UEENEEE107A Use drawings, diagrams, schedules, standards, codes and specifications</w:t>
            </w:r>
          </w:p>
          <w:p w:rsidR="00000000" w:rsidRPr="00177279" w:rsidP="00177279">
            <w:pPr>
              <w:pStyle w:val="BodyText"/>
            </w:pPr>
            <w:r w:rsidRPr="00177279">
              <w:t>UEENEEE124A Compile and produce an energy sector detailed report</w:t>
            </w:r>
          </w:p>
          <w:p w:rsidR="00000000" w:rsidRPr="00177279" w:rsidP="00177279">
            <w:pPr>
              <w:pStyle w:val="BodyText"/>
            </w:pPr>
            <w:r w:rsidRPr="00177279">
              <w:t>UEENEEE125A Provide engineering so</w:t>
            </w:r>
            <w:r w:rsidRPr="00177279">
              <w:t>lutions for problems in complex multiple path circuits</w:t>
            </w:r>
          </w:p>
          <w:p w:rsidR="00000000" w:rsidRPr="00177279" w:rsidP="00177279">
            <w:pPr>
              <w:pStyle w:val="BodyText"/>
            </w:pPr>
            <w:r w:rsidRPr="00177279">
              <w:t>UEENEEE126A Provide solutions to basic engineering computational problems</w:t>
            </w:r>
          </w:p>
          <w:p w:rsidR="00000000" w:rsidRPr="00177279" w:rsidP="00177279">
            <w:pPr>
              <w:pStyle w:val="BodyText"/>
            </w:pPr>
            <w:r w:rsidRPr="00177279">
              <w:t>UEENEEG101A Solve problems in electromagnetic devices and related circuits</w:t>
            </w:r>
          </w:p>
          <w:p w:rsidR="00000000" w:rsidRPr="00177279" w:rsidP="00177279">
            <w:pPr>
              <w:pStyle w:val="BodyText"/>
            </w:pPr>
            <w:r w:rsidRPr="00177279">
              <w:t>UEENEEG102A Solve problems in low voltage a.c. circuits</w:t>
            </w:r>
          </w:p>
          <w:p w:rsidR="00000000" w:rsidRPr="00177279" w:rsidP="00177279">
            <w:pPr>
              <w:pStyle w:val="BodyText"/>
            </w:pPr>
            <w:r w:rsidRPr="00177279">
              <w:t>UEENEEG149A Provide engineering solutions to problems in complex polyphase power circuits</w:t>
            </w:r>
          </w:p>
          <w:p w:rsidR="00000000" w:rsidRPr="00177279" w:rsidP="00177279">
            <w:pPr>
              <w:pStyle w:val="BodyText"/>
            </w:pPr>
            <w:r w:rsidRPr="00177279">
              <w:t>UETDREL001 Apply environmental requirements</w:t>
            </w:r>
          </w:p>
          <w:p w:rsidR="00000000" w:rsidRPr="00177279" w:rsidP="00177279">
            <w:pPr>
              <w:pStyle w:val="BodyText"/>
            </w:pPr>
            <w:r w:rsidRPr="00177279">
              <w:t>UETDREL005 Work safely in the vicinity of live electrical apparatu</w:t>
            </w:r>
            <w:r w:rsidRPr="00177279">
              <w:t>s</w:t>
            </w:r>
          </w:p>
          <w:p w:rsidR="00000000" w:rsidRPr="00177279" w:rsidP="00177279">
            <w:pPr>
              <w:pStyle w:val="BodyText"/>
            </w:pPr>
            <w:r w:rsidRPr="00177279">
              <w:t>UETDRIS005 Implement &amp; monitor power system environmental &amp; sustainable energy management policies &amp; procedures</w:t>
            </w:r>
          </w:p>
          <w:p w:rsidR="00000000" w:rsidRPr="00177279" w:rsidP="00177279">
            <w:pPr>
              <w:pStyle w:val="BodyText"/>
            </w:pPr>
            <w:r w:rsidRPr="00177279">
              <w:t>UETDRIS006 Implement and monitor the power system organisational WHS/OHS policies, procedures and programs</w:t>
            </w:r>
          </w:p>
          <w:p w:rsidR="00000000" w:rsidRPr="00177279" w:rsidP="00177279">
            <w:pPr>
              <w:pStyle w:val="BodyText"/>
            </w:pPr>
            <w:r w:rsidRPr="00177279">
              <w:t>UETDRTS010 Develop power systems se</w:t>
            </w:r>
            <w:r w:rsidRPr="00177279">
              <w:t>condary isolation instructional documents</w:t>
            </w:r>
          </w:p>
          <w:p w:rsidR="00000000" w:rsidRPr="00177279" w:rsidP="00177279">
            <w:pPr>
              <w:pStyle w:val="BodyText"/>
            </w:pPr>
            <w:r w:rsidRPr="00177279">
              <w:t>UETDRTS014 Maintain and test and metering schemes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4" w:name="O_1178646"/>
      <w:bookmarkEnd w:id="4"/>
      <w:r w:rsidRPr="001772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Testing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5" w:name="O_1178647"/>
      <w:bookmarkEnd w:id="5"/>
      <w:r w:rsidRPr="001772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Not applicable.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6" w:name="O_1178648"/>
      <w:bookmarkEnd w:id="6"/>
      <w:r w:rsidRPr="001772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PERFORMANCE CRITERIA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Performance criteria describe the performance needed to demonstrate achievement of the element.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Plan for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Work health and safety (WHS)/occupatio</w:t>
            </w:r>
            <w:r w:rsidRPr="00177279">
              <w:t>nal health and safety (OHS) practices/procedures and environmental and sustainable energy procedures, which may influence the commissioning of metering schemes, are reviewed and determined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Purpose of the commissioning of metering schemes is established after data is analysed and expected outcomes of the work are confirmed with appropriate personnel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Organisational established procedures on policies and specifications for the commission</w:t>
            </w:r>
            <w:r w:rsidRPr="00177279">
              <w:t>ing of metering schemes are obtained or established with appropriate personnel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Testing procedures are discussed with/directed to appropriate personnel in order to ascertain the project brief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Testing parameters are established from organisatio</w:t>
            </w:r>
            <w:r w:rsidRPr="00177279">
              <w:t>nal established procedures on policies and specifications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Equipment/tools and personal protective equipment (PPE) are selected based on specified performance criteria and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Work roles and tasks are allocated according to requirements and individual competencies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Work is prioritised and sequenced for the most efficient/effective outcome, completed within an acceptable timeframe, to a quality standard and in accordance wi</w:t>
            </w:r>
            <w:r w:rsidRPr="00177279">
              <w:t>th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Liaison and communication issues with others/authorised personnel, authorities, clients and landowners are resolved and activities coordinated to carry out work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 xml:space="preserve">Risk control measures are identified, prioritised and </w:t>
            </w:r>
            <w:r w:rsidRPr="00177279">
              <w:t>evaluated against the work schedule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Relevant work permits are secured to coordinate the performance of work according to requirements and/or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Carry out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Circuit/systems modelling is used to evaluate alternative proposals in accordance with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WHS/OHS and sustainable energy principles, functionality and practices to reduce the incidents of accidents and minimise waste are incorpor</w:t>
            </w:r>
            <w:r w:rsidRPr="00177279">
              <w:t>ated into the project in accordance with requirements and/or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Commissioning of metering scheme decisions are made on the basis of safety and effective outcomes according to requirements and/or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Mathematical/engineering models of the commissioning of metering schemes are used to analyse the effectiveness of the finished project in accordance with requirements and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 xml:space="preserve">Technical advice is given regarding potential hazards, </w:t>
            </w:r>
            <w:r w:rsidRPr="00177279">
              <w:t>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Essential knowledge and associated s</w:t>
            </w:r>
            <w:r w:rsidRPr="00177279">
              <w:t>kills are applied to analyse specific data and compare it with compliance specifications to ensure completion of the project within an agreed timeframe according to requirements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Testing of the commissioning of metering schemes is undertaken accordin</w:t>
            </w:r>
            <w:r w:rsidRPr="00177279">
              <w:t>g to requirements and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Work teams/groups are arranged/coordinated/evaluated to ensure planned goals are met according to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Solutions to non-routine problems are identified and actioned, using acquired essential knowledge and associated skills, according to requirements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Quality of work is monitored against personal performance agreement and/or established organisational</w:t>
            </w:r>
            <w:r w:rsidRPr="00177279">
              <w:t xml:space="preserve"> and professional standards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Strategic plans are developed incorporating organisation initiatives in accordance with established procedures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rPr>
                <w:rStyle w:val="SpecialBold"/>
              </w:rPr>
              <w:t>Complete the commissioning of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Final inspections of the commissioning of metering sche</w:t>
            </w:r>
            <w:r w:rsidRPr="00177279">
              <w:t>mes are undertaken to ensure they comply with all requirements and include all specifications and documentations needed to complete the project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Appropriate personnel are notified of completion and reports and/or completion documents are finalised/commissioned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Reports and/or completion documents are submitted to relevant personnel/organisations for approval and, where applicable, statutory o</w:t>
            </w:r>
            <w:r w:rsidRPr="00177279">
              <w:t>r regulatory approval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Approved copies of the commissioning of metering schemes documents are issued and records are updated in accordance with established procedures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7" w:name="O_1178649"/>
      <w:bookmarkEnd w:id="7"/>
      <w:r w:rsidRPr="001772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Foundation skills essential to performance a</w:t>
            </w:r>
            <w:r w:rsidRPr="00177279">
              <w:t>re explicit in the performance criteria of this unit of competency.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8" w:name="O_1178650"/>
      <w:bookmarkEnd w:id="8"/>
      <w:r w:rsidRPr="001772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Range is restricted to essential operating conditions and any other variables essential to the work environment.</w:t>
            </w:r>
          </w:p>
          <w:p w:rsidR="00000000" w:rsidRPr="00177279" w:rsidP="00177279">
            <w:pPr>
              <w:pStyle w:val="BodyText"/>
            </w:pPr>
            <w:r w:rsidRPr="0017727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9" w:name="O_1178651"/>
      <w:bookmarkEnd w:id="9"/>
      <w:r w:rsidRPr="001772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 xml:space="preserve">This unit replaces and is equivalent to UETTDRTS26 Commission </w:t>
            </w:r>
            <w:r w:rsidRPr="00177279">
              <w:t>power systems metering schemes.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10" w:name="O_1178658"/>
      <w:bookmarkEnd w:id="10"/>
      <w:r w:rsidRPr="00177279">
        <w:t>Links</w:t>
      </w:r>
    </w:p>
    <w:p w:rsidR="00000000" w:rsidRPr="00177279" w:rsidP="00D222AB">
      <w:pPr>
        <w:pStyle w:val="BodyText"/>
      </w:pPr>
      <w:r w:rsidRPr="00177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615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7279" w:rsidP="00D222AB">
      <w:pPr>
        <w:pStyle w:val="BodyText"/>
        <w:sectPr w:rsidSect="001772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279" w:rsidP="00177279">
      <w:pPr>
        <w:pStyle w:val="SuperHeading"/>
      </w:pPr>
      <w:r w:rsidRPr="00177279">
        <w:t>Asse</w:t>
      </w:r>
      <w:r w:rsidRPr="00177279">
        <w:t>ssment Requirements for UETDRTS005 Commission power systems metering schemes</w:t>
      </w:r>
    </w:p>
    <w:p w:rsidR="00000000" w:rsidRPr="00177279" w:rsidP="00177279">
      <w:pPr>
        <w:pStyle w:val="Heading1"/>
      </w:pPr>
      <w:bookmarkStart w:id="11" w:name="O_1178653"/>
      <w:bookmarkEnd w:id="11"/>
      <w:r w:rsidRPr="001772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12" w:name="O_1178654"/>
      <w:bookmarkEnd w:id="12"/>
      <w:r w:rsidRPr="001772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Evidence required to demonstrate competence in this unit must be r</w:t>
            </w:r>
            <w:r w:rsidRPr="00177279">
              <w:t xml:space="preserve">elevant to and satisfy all of the requirements of the elements and performance criteria on at least two separate occasions and include:  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ListBullet"/>
            </w:pPr>
            <w:r w:rsidRPr="00177279">
              <w:t xml:space="preserve">applying relevant work health and safety (WHS)/occupational health and safety (OHS) requirements, including the use </w:t>
            </w:r>
            <w:r w:rsidRPr="00177279">
              <w:t>of risk control measures</w:t>
            </w:r>
          </w:p>
          <w:p w:rsidR="00000000" w:rsidRPr="00177279" w:rsidP="00177279">
            <w:pPr>
              <w:pStyle w:val="ListBullet"/>
            </w:pPr>
            <w:r w:rsidRPr="00177279">
              <w:t>applying sustainable energy principles and practices</w:t>
            </w:r>
          </w:p>
          <w:p w:rsidR="00000000" w:rsidRPr="00177279" w:rsidP="00177279">
            <w:pPr>
              <w:pStyle w:val="ListBullet"/>
            </w:pPr>
            <w:r w:rsidRPr="00177279">
              <w:t>demonstrating commissioning metering schemes, on at least three (3) occasions, testing accuracy to established plans of at least three (3) schemes using the following equipment</w:t>
            </w:r>
          </w:p>
          <w:p w:rsidR="00000000" w:rsidRPr="00177279" w:rsidP="00177279">
            <w:pPr>
              <w:pStyle w:val="ListBullet2"/>
            </w:pPr>
            <w:r w:rsidRPr="00177279">
              <w:t>ammeter</w:t>
            </w:r>
          </w:p>
          <w:p w:rsidR="00000000" w:rsidRPr="00177279" w:rsidP="00177279">
            <w:pPr>
              <w:pStyle w:val="ListBullet2"/>
            </w:pPr>
            <w:r w:rsidRPr="00177279">
              <w:t>voltmeter</w:t>
            </w:r>
          </w:p>
          <w:p w:rsidR="00000000" w:rsidRPr="00177279" w:rsidP="00177279">
            <w:pPr>
              <w:pStyle w:val="ListBullet2"/>
            </w:pPr>
            <w:r w:rsidRPr="00177279">
              <w:t>wattmeter</w:t>
            </w:r>
          </w:p>
          <w:p w:rsidR="00000000" w:rsidRPr="00177279" w:rsidP="00177279">
            <w:pPr>
              <w:pStyle w:val="ListBullet2"/>
            </w:pPr>
            <w:r w:rsidRPr="00177279">
              <w:t>volt-ampere reactive (VAR) meter</w:t>
            </w:r>
          </w:p>
          <w:p w:rsidR="00000000" w:rsidRPr="00177279" w:rsidP="00177279">
            <w:pPr>
              <w:pStyle w:val="ListBullet2"/>
            </w:pPr>
            <w:r w:rsidRPr="00177279">
              <w:t>energy meter*</w:t>
            </w:r>
          </w:p>
          <w:p w:rsidR="00000000" w:rsidRPr="00177279" w:rsidP="00177279">
            <w:pPr>
              <w:pStyle w:val="ListBullet2"/>
            </w:pPr>
            <w:r w:rsidRPr="00177279">
              <w:t>(*Must do)</w:t>
            </w:r>
          </w:p>
          <w:p w:rsidR="00000000" w:rsidRPr="00177279" w:rsidP="00177279">
            <w:pPr>
              <w:pStyle w:val="ListBullet"/>
            </w:pPr>
            <w:r w:rsidRPr="00177279">
              <w:t>dealing with unplanned events on at least one (1) occasion.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13" w:name="O_1178655"/>
      <w:bookmarkEnd w:id="13"/>
      <w:r w:rsidRPr="001772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79">
            <w:pPr>
              <w:pStyle w:val="BodyText"/>
              <w:rPr>
                <w:lang w:val="en-NZ"/>
              </w:rPr>
            </w:pPr>
            <w:r w:rsidRPr="0017727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ListBullet"/>
            </w:pPr>
            <w:r w:rsidRPr="00177279">
              <w:t>installation of metering and control equipment encompassing:</w:t>
            </w:r>
          </w:p>
          <w:p w:rsidR="00000000" w:rsidRPr="00177279" w:rsidP="00177279">
            <w:pPr>
              <w:pStyle w:val="ListBullet2"/>
            </w:pPr>
            <w:r w:rsidRPr="00177279">
              <w:t>standards, c</w:t>
            </w:r>
            <w:r w:rsidRPr="00177279">
              <w:t>odes, legislation, supply authority regulations and/or enterprise requirements pertaining to the installation and maintenance of energy meters and associated equipment</w:t>
            </w:r>
          </w:p>
          <w:p w:rsidR="00000000" w:rsidRPr="00177279" w:rsidP="00177279">
            <w:pPr>
              <w:pStyle w:val="ListBullet2"/>
            </w:pPr>
            <w:r w:rsidRPr="00177279">
              <w:t>types of meters - kilowatt-hour meters single and polyphase, demand meters, recording meters and electronic recording metering system summators</w:t>
            </w:r>
          </w:p>
          <w:p w:rsidR="00000000" w:rsidRPr="00177279" w:rsidP="00177279">
            <w:pPr>
              <w:pStyle w:val="ListBullet2"/>
            </w:pPr>
            <w:r w:rsidRPr="00177279">
              <w:t>installation and removal methods - direct connection and plug in method, and enterprise specific</w:t>
            </w:r>
          </w:p>
          <w:p w:rsidR="00000000" w:rsidRPr="00177279" w:rsidP="00177279">
            <w:pPr>
              <w:pStyle w:val="ListBullet2"/>
            </w:pPr>
            <w:r w:rsidRPr="00177279">
              <w:t>types of associ</w:t>
            </w:r>
            <w:r w:rsidRPr="00177279">
              <w:t>ated equipment and accessories - meter boards, service fuse, links, contactors, time switch and audio frequency injection relay</w:t>
            </w:r>
          </w:p>
          <w:p w:rsidR="00000000" w:rsidRPr="00177279" w:rsidP="00177279">
            <w:pPr>
              <w:pStyle w:val="ListBullet2"/>
            </w:pPr>
            <w:r w:rsidRPr="00177279">
              <w:t>testing procedures - safety testing and polarity testing</w:t>
            </w:r>
          </w:p>
          <w:p w:rsidR="00000000" w:rsidRPr="00177279" w:rsidP="00177279">
            <w:pPr>
              <w:pStyle w:val="ListBullet"/>
            </w:pPr>
            <w:r w:rsidRPr="00177279">
              <w:t>commissioning procedures associated with relevant equipment encompassi</w:t>
            </w:r>
            <w:r w:rsidRPr="00177279">
              <w:t>ng:</w:t>
            </w:r>
          </w:p>
          <w:p w:rsidR="00000000" w:rsidRPr="00177279" w:rsidP="00177279">
            <w:pPr>
              <w:pStyle w:val="ListBullet2"/>
            </w:pPr>
            <w:r w:rsidRPr="00177279">
              <w:t>standards, codes, Commonwealth/state/territory legislation, supply authority regulations and/or enterprise requirements associated with the commissioning procedures</w:t>
            </w:r>
          </w:p>
          <w:p w:rsidR="00000000" w:rsidRPr="00177279" w:rsidP="00177279">
            <w:pPr>
              <w:pStyle w:val="ListBullet2"/>
            </w:pPr>
            <w:r w:rsidRPr="00177279">
              <w:t>requirements for the use of commissioning manuals, system diagrams/plans and drawings</w:t>
            </w:r>
          </w:p>
          <w:p w:rsidR="00000000" w:rsidRPr="00177279" w:rsidP="00177279">
            <w:pPr>
              <w:pStyle w:val="ListBullet2"/>
            </w:pPr>
            <w:r w:rsidRPr="00177279">
              <w:t>techniques in commissioning procedures – planning, policy, testing techniques and close out requirements.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14" w:name="O_1178656"/>
      <w:bookmarkEnd w:id="14"/>
      <w:r w:rsidRPr="001772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79" w:rsidP="00177279">
            <w:pPr>
              <w:pStyle w:val="BodyText"/>
            </w:pPr>
            <w:r w:rsidRPr="00177279">
              <w:t>Assessors must hold credentials specified within the Standards for Registered Training Organisations current at the time of assessment.</w:t>
            </w:r>
          </w:p>
          <w:p w:rsidR="00000000" w:rsidRPr="00177279" w:rsidP="00177279">
            <w:pPr>
              <w:pStyle w:val="BodyText"/>
            </w:pPr>
            <w:r w:rsidRPr="00177279">
              <w:t>Assessment must satisfy the Principles of Assessment and Rules of Evidence and all regulatory requirements included with</w:t>
            </w:r>
            <w:r w:rsidRPr="00177279">
              <w:t>in the Standards for Registered Training Organisations current at the time of assessment.</w:t>
            </w:r>
          </w:p>
          <w:p w:rsidR="00000000" w:rsidRPr="00177279" w:rsidP="00177279">
            <w:pPr>
              <w:pStyle w:val="BodyText"/>
            </w:pPr>
            <w:r w:rsidRPr="00177279">
              <w:t>Assessment must occur in workplace operational situations where it is appropriate to do so; where this is not appropriate, assessment must occur in simulated conditio</w:t>
            </w:r>
            <w:r w:rsidRPr="00177279">
              <w:t>ns involving realistic and authentic activities that replicate operational workplace conditions.</w:t>
            </w:r>
          </w:p>
          <w:p w:rsidR="00000000" w:rsidRPr="00177279" w:rsidP="00177279">
            <w:pPr>
              <w:pStyle w:val="BodyText"/>
            </w:pPr>
            <w:r w:rsidRPr="00177279">
              <w:t>Assessment processes and techniques must be appropriate to the language, literacy and numeracy requirements of the work being performed and the needs of the ca</w:t>
            </w:r>
            <w:r w:rsidRPr="00177279">
              <w:t>ndidate.</w:t>
            </w:r>
          </w:p>
          <w:p w:rsidR="00000000" w:rsidRPr="00177279" w:rsidP="00177279">
            <w:pPr>
              <w:pStyle w:val="BodyText"/>
            </w:pPr>
            <w:r w:rsidRPr="00177279">
              <w:t>Resources for assessment must include access to:</w:t>
            </w:r>
          </w:p>
          <w:p w:rsidR="00000000" w:rsidRPr="00177279" w:rsidP="00177279">
            <w:pPr>
              <w:pStyle w:val="ListBullet"/>
            </w:pPr>
            <w:r w:rsidRPr="00177279">
              <w:t>a range of relevant exercises, case studies and/or other simulations</w:t>
            </w:r>
          </w:p>
          <w:p w:rsidR="00000000" w:rsidRPr="00177279" w:rsidP="00177279">
            <w:pPr>
              <w:pStyle w:val="ListBullet"/>
            </w:pPr>
            <w:r w:rsidRPr="00177279">
              <w:t>relevant and appropriate materials, tools, facilities, equipment and personal protective equipment (PPE) currently used in indus</w:t>
            </w:r>
            <w:r w:rsidRPr="00177279">
              <w:t>try</w:t>
            </w:r>
          </w:p>
          <w:p w:rsidR="00000000" w:rsidRPr="00177279" w:rsidP="00177279">
            <w:pPr>
              <w:pStyle w:val="ListBullet"/>
            </w:pPr>
            <w:r w:rsidRPr="0017727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77279" w:rsidP="00177279">
      <w:pPr>
        <w:pStyle w:val="NoPaddingFontSize1"/>
      </w:pPr>
    </w:p>
    <w:p w:rsidR="00000000" w:rsidRPr="00177279" w:rsidP="00177279">
      <w:pPr>
        <w:pStyle w:val="AllowPageBreak"/>
      </w:pPr>
    </w:p>
    <w:p w:rsidR="00000000" w:rsidRPr="00177279" w:rsidP="00177279">
      <w:pPr>
        <w:pStyle w:val="Heading1"/>
      </w:pPr>
      <w:bookmarkStart w:id="15" w:name="O_1178659"/>
      <w:bookmarkEnd w:id="15"/>
      <w:r w:rsidRPr="00177279">
        <w:t>Links</w:t>
      </w:r>
    </w:p>
    <w:p w:rsidR="00000000" w:rsidRPr="00177279" w:rsidP="00D222AB">
      <w:pPr>
        <w:pStyle w:val="BodyText"/>
      </w:pPr>
      <w:r w:rsidRPr="00177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615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7279" w:rsidP="00177279"/>
    <w:sectPr w:rsidSect="001772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 w:rsidRPr="00D222AB" w:rsidP="00D22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AB" w:rsidP="0017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2AB" w:rsidP="0017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22AB" w:rsidP="001772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 w:rsidP="0017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2AB">
      <w:t>Approved</w:t>
    </w:r>
    <w:r w:rsidR="00D222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2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2AB">
      <w:rPr>
        <w:noProof/>
      </w:rPr>
      <w:t>5</w:t>
    </w:r>
    <w:r>
      <w:rPr>
        <w:noProof/>
      </w:rPr>
      <w:fldChar w:fldCharType="end"/>
    </w:r>
  </w:p>
  <w:p w:rsidR="00177279" w:rsidP="0017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2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2AB">
      <w:t>Powering Skills Organisation</w:t>
    </w:r>
    <w:r w:rsidR="00D222AB">
      <w:fldChar w:fldCharType="end"/>
    </w:r>
  </w:p>
  <w:p w:rsidR="00177279" w:rsidP="00177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279" w:rsidRPr="00D222AB" w:rsidP="00D22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AB" w:rsidRPr="002D2AF8" w:rsidP="0017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UETDRTS005 Commission power systems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2AB" w:rsidP="001772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79" w:rsidRPr="002D2AF8" w:rsidP="0017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2AB">
      <w:t>UETDRTS005 Commission power systems metering schemes</w:t>
    </w:r>
    <w:r w:rsidR="00D222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2AB">
      <w:rPr>
        <w:noProof/>
      </w:rPr>
      <w:t>2 March 2025</w:t>
    </w:r>
    <w:r>
      <w:fldChar w:fldCharType="end"/>
    </w:r>
  </w:p>
  <w:p w:rsidR="00177279" w:rsidP="00177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C1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40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87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279"/>
  </w:style>
  <w:style w:type="character" w:customStyle="1" w:styleId="Heading1Char">
    <w:name w:val="Heading 1 Char"/>
    <w:basedOn w:val="DefaultParagraphFont"/>
    <w:link w:val="Heading1"/>
    <w:rsid w:val="00177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2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279"/>
    <w:rPr>
      <w:b/>
      <w:spacing w:val="0"/>
    </w:rPr>
  </w:style>
  <w:style w:type="paragraph" w:styleId="ListBullet2">
    <w:name w:val="List Bullet 2"/>
    <w:basedOn w:val="List2"/>
    <w:rsid w:val="001772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7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2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279"/>
    <w:rPr>
      <w:i/>
    </w:rPr>
  </w:style>
  <w:style w:type="paragraph" w:styleId="Caption">
    <w:name w:val="caption"/>
    <w:basedOn w:val="BodyText"/>
    <w:next w:val="Normal"/>
    <w:qFormat/>
    <w:rsid w:val="00177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279"/>
  </w:style>
  <w:style w:type="paragraph" w:styleId="TableofFigures">
    <w:name w:val="table of figures"/>
    <w:basedOn w:val="Normal"/>
    <w:next w:val="Normal"/>
    <w:semiHidden/>
    <w:rsid w:val="00177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2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279"/>
    <w:rPr>
      <w:rFonts w:ascii="Wingdings" w:hAnsi="Wingdings"/>
    </w:rPr>
  </w:style>
  <w:style w:type="paragraph" w:customStyle="1" w:styleId="TableHeading">
    <w:name w:val="Table Heading"/>
    <w:basedOn w:val="HeadingBase"/>
    <w:rsid w:val="00177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279"/>
    <w:rPr>
      <w:color w:val="0033CC"/>
      <w:u w:val="none"/>
    </w:rPr>
  </w:style>
  <w:style w:type="paragraph" w:customStyle="1" w:styleId="BodyTextRight">
    <w:name w:val="Body Text Right"/>
    <w:basedOn w:val="BodyText"/>
    <w:rsid w:val="00177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2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279"/>
    <w:rPr>
      <w:sz w:val="32"/>
    </w:rPr>
  </w:style>
  <w:style w:type="paragraph" w:customStyle="1" w:styleId="HeadingProcedure">
    <w:name w:val="Heading Procedure"/>
    <w:basedOn w:val="HeadingBase"/>
    <w:next w:val="Normal"/>
    <w:rsid w:val="00177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279"/>
    <w:pPr>
      <w:spacing w:before="60" w:after="60"/>
    </w:pPr>
  </w:style>
  <w:style w:type="paragraph" w:styleId="ListContinue">
    <w:name w:val="List Continue"/>
    <w:basedOn w:val="List"/>
    <w:rsid w:val="00177279"/>
    <w:pPr>
      <w:ind w:firstLine="0"/>
    </w:pPr>
  </w:style>
  <w:style w:type="paragraph" w:customStyle="1" w:styleId="ListNote">
    <w:name w:val="List Note"/>
    <w:basedOn w:val="List"/>
    <w:rsid w:val="00177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279"/>
    <w:rPr>
      <w:rFonts w:ascii="Courier New" w:hAnsi="Courier New"/>
    </w:rPr>
  </w:style>
  <w:style w:type="paragraph" w:customStyle="1" w:styleId="NoteBullet">
    <w:name w:val="Note Bullet"/>
    <w:basedOn w:val="Note"/>
    <w:rsid w:val="00177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2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279"/>
    <w:rPr>
      <w:b/>
      <w:smallCaps/>
    </w:rPr>
  </w:style>
  <w:style w:type="paragraph" w:customStyle="1" w:styleId="TableListNumber">
    <w:name w:val="Table List Number"/>
    <w:basedOn w:val="ListNumber"/>
    <w:rsid w:val="00177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279"/>
    <w:pPr>
      <w:numPr>
        <w:numId w:val="9"/>
      </w:numPr>
    </w:pPr>
  </w:style>
  <w:style w:type="paragraph" w:customStyle="1" w:styleId="ListAlpha2">
    <w:name w:val="List Alpha 2"/>
    <w:basedOn w:val="List2"/>
    <w:rsid w:val="00177279"/>
    <w:pPr>
      <w:numPr>
        <w:numId w:val="8"/>
      </w:numPr>
    </w:pPr>
  </w:style>
  <w:style w:type="paragraph" w:styleId="List2">
    <w:name w:val="List 2"/>
    <w:basedOn w:val="BodyText"/>
    <w:rsid w:val="00177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2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2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279"/>
    <w:pPr>
      <w:numPr>
        <w:numId w:val="4"/>
      </w:numPr>
    </w:pPr>
  </w:style>
  <w:style w:type="paragraph" w:styleId="ListContinue2">
    <w:name w:val="List Continue 2"/>
    <w:basedOn w:val="List2"/>
    <w:rsid w:val="00177279"/>
    <w:pPr>
      <w:ind w:firstLine="0"/>
    </w:pPr>
  </w:style>
  <w:style w:type="paragraph" w:styleId="ListContinue3">
    <w:name w:val="List Continue 3"/>
    <w:basedOn w:val="List3"/>
    <w:rsid w:val="00177279"/>
    <w:pPr>
      <w:ind w:left="1021" w:firstLine="0"/>
    </w:pPr>
  </w:style>
  <w:style w:type="paragraph" w:styleId="ListContinue4">
    <w:name w:val="List Continue 4"/>
    <w:basedOn w:val="List4"/>
    <w:rsid w:val="00177279"/>
    <w:pPr>
      <w:ind w:firstLine="0"/>
    </w:pPr>
  </w:style>
  <w:style w:type="paragraph" w:styleId="ListContinue5">
    <w:name w:val="List Continue 5"/>
    <w:basedOn w:val="List5"/>
    <w:rsid w:val="00177279"/>
    <w:pPr>
      <w:ind w:firstLine="0"/>
    </w:pPr>
  </w:style>
  <w:style w:type="paragraph" w:styleId="ListNumber3">
    <w:name w:val="List Number 3"/>
    <w:basedOn w:val="List3"/>
    <w:rsid w:val="00177279"/>
    <w:pPr>
      <w:numPr>
        <w:numId w:val="5"/>
      </w:numPr>
    </w:pPr>
  </w:style>
  <w:style w:type="paragraph" w:styleId="ListNumber4">
    <w:name w:val="List Number 4"/>
    <w:basedOn w:val="List4"/>
    <w:rsid w:val="00177279"/>
    <w:pPr>
      <w:numPr>
        <w:numId w:val="6"/>
      </w:numPr>
    </w:pPr>
  </w:style>
  <w:style w:type="paragraph" w:styleId="ListNumber5">
    <w:name w:val="List Number 5"/>
    <w:basedOn w:val="List5"/>
    <w:rsid w:val="00177279"/>
    <w:pPr>
      <w:numPr>
        <w:numId w:val="7"/>
      </w:numPr>
    </w:pPr>
  </w:style>
  <w:style w:type="paragraph" w:styleId="BlockText">
    <w:name w:val="Block Text"/>
    <w:basedOn w:val="Normal"/>
    <w:rsid w:val="00177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279"/>
    <w:rPr>
      <w:sz w:val="16"/>
      <w:vertAlign w:val="superscript"/>
    </w:rPr>
  </w:style>
  <w:style w:type="character" w:customStyle="1" w:styleId="Symbols">
    <w:name w:val="Symbols"/>
    <w:basedOn w:val="DefaultParagraphFont"/>
    <w:rsid w:val="00177279"/>
    <w:rPr>
      <w:rFonts w:ascii="Symbol" w:hAnsi="Symbol"/>
    </w:rPr>
  </w:style>
  <w:style w:type="character" w:customStyle="1" w:styleId="MenuOptions">
    <w:name w:val="Menu Options"/>
    <w:basedOn w:val="DefaultParagraphFont"/>
    <w:rsid w:val="00177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279"/>
    <w:rPr>
      <w:b/>
    </w:rPr>
  </w:style>
  <w:style w:type="character" w:customStyle="1" w:styleId="Underlined">
    <w:name w:val="Underlined"/>
    <w:basedOn w:val="DefaultParagraphFont"/>
    <w:rsid w:val="00177279"/>
    <w:rPr>
      <w:u w:val="single"/>
    </w:rPr>
  </w:style>
  <w:style w:type="paragraph" w:customStyle="1" w:styleId="TableBodyTextRight">
    <w:name w:val="Table Body Text Right"/>
    <w:basedOn w:val="TableBodyText"/>
    <w:rsid w:val="00177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279"/>
    <w:rPr>
      <w:sz w:val="18"/>
    </w:rPr>
  </w:style>
  <w:style w:type="paragraph" w:customStyle="1" w:styleId="BodySmallRight">
    <w:name w:val="Body Small Right"/>
    <w:basedOn w:val="BodyTextRight"/>
    <w:rsid w:val="00177279"/>
    <w:rPr>
      <w:sz w:val="18"/>
      <w:szCs w:val="18"/>
    </w:rPr>
  </w:style>
  <w:style w:type="paragraph" w:customStyle="1" w:styleId="MarginEdition">
    <w:name w:val="Margin Edition"/>
    <w:basedOn w:val="MarginNote"/>
    <w:rsid w:val="00177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279"/>
    <w:rPr>
      <w:sz w:val="2"/>
      <w:szCs w:val="2"/>
    </w:rPr>
  </w:style>
  <w:style w:type="character" w:customStyle="1" w:styleId="Small">
    <w:name w:val="Small"/>
    <w:basedOn w:val="DefaultParagraphFont"/>
    <w:rsid w:val="00177279"/>
    <w:rPr>
      <w:sz w:val="16"/>
    </w:rPr>
  </w:style>
  <w:style w:type="paragraph" w:customStyle="1" w:styleId="WideTable">
    <w:name w:val="Wide Table"/>
    <w:basedOn w:val="Normal"/>
    <w:rsid w:val="00177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279"/>
  </w:style>
  <w:style w:type="paragraph" w:styleId="Quote">
    <w:name w:val="Quote"/>
    <w:basedOn w:val="Heading1"/>
    <w:link w:val="QuoteChar"/>
    <w:qFormat/>
    <w:rsid w:val="00177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279"/>
    <w:pPr>
      <w:pageBreakBefore/>
    </w:pPr>
  </w:style>
  <w:style w:type="paragraph" w:customStyle="1" w:styleId="Border">
    <w:name w:val="Border"/>
    <w:basedOn w:val="Normal"/>
    <w:qFormat/>
    <w:rsid w:val="00177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279"/>
    <w:rPr>
      <w:u w:val="single"/>
    </w:rPr>
  </w:style>
  <w:style w:type="character" w:customStyle="1" w:styleId="BoldandItalics">
    <w:name w:val="Bold and Italics"/>
    <w:qFormat/>
    <w:rsid w:val="00177279"/>
    <w:rPr>
      <w:b/>
      <w:i/>
      <w:u w:val="none"/>
    </w:rPr>
  </w:style>
  <w:style w:type="paragraph" w:styleId="BalloonText">
    <w:name w:val="Balloon Text"/>
    <w:basedOn w:val="Normal"/>
    <w:link w:val="BalloonTextChar"/>
    <w:rsid w:val="00177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279"/>
    <w:pPr>
      <w:spacing w:before="0" w:after="0"/>
    </w:pPr>
  </w:style>
  <w:style w:type="paragraph" w:customStyle="1" w:styleId="BodyTextBold">
    <w:name w:val="Body Text Bold"/>
    <w:basedOn w:val="BodyText"/>
    <w:qFormat/>
    <w:rsid w:val="00177279"/>
    <w:rPr>
      <w:b/>
    </w:rPr>
  </w:style>
  <w:style w:type="character" w:styleId="Hyperlink">
    <w:name w:val="Hyperlink"/>
    <w:basedOn w:val="DefaultParagraphFont"/>
    <w:uiPriority w:val="99"/>
    <w:unhideWhenUsed/>
    <w:rsid w:val="00D22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1503</Words>
  <Characters>10118</Characters>
  <Application>Microsoft Office Word</Application>
  <DocSecurity>0</DocSecurity>
  <Lines>337</Lines>
  <Paragraphs>166</Paragraphs>
  <ScaleCrop>false</ScaleCrop>
  <Company>Author-it Software Corporation Ltd.</Company>
  <LinksUpToDate>false</LinksUpToDate>
  <CharactersWithSpaces>11455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UETDRTS005 Commission power systems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