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C9E" w:rsidP="007F4C9E">
      <w:pPr>
        <w:pStyle w:val="Title"/>
      </w:pPr>
      <w:r>
        <w:fldChar w:fldCharType="begin"/>
      </w:r>
      <w:r>
        <w:instrText xml:space="preserve"> TITLE   \* MERGEFORMAT </w:instrText>
      </w:r>
      <w:r>
        <w:fldChar w:fldCharType="separate"/>
      </w:r>
      <w:r>
        <w:t>UETDRTS003 Commission energy/revenue metering schemes (complex)</w:t>
      </w:r>
      <w:r>
        <w:fldChar w:fldCharType="end"/>
      </w:r>
    </w:p>
    <w:p w:rsidR="007F4C9E" w:rsidP="007F4C9E">
      <w:pPr>
        <w:pStyle w:val="Version"/>
        <w:sectPr w:rsidSect="00B55C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C1B" w:rsidP="00B55C1B">
      <w:pPr>
        <w:pStyle w:val="SuperHeading"/>
      </w:pPr>
      <w:r w:rsidRPr="00B55C1B">
        <w:t>UETDRTS003 Commission energy/revenue metering schemes (complex)</w:t>
      </w:r>
    </w:p>
    <w:p w:rsidR="00000000" w:rsidRPr="00B55C1B" w:rsidP="00B55C1B">
      <w:pPr>
        <w:pStyle w:val="Heading1"/>
      </w:pPr>
      <w:bookmarkStart w:id="1" w:name="O_1178700"/>
      <w:bookmarkEnd w:id="1"/>
      <w:r w:rsidRPr="00B55C1B">
        <w:t>Modification History</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Release 1. This is the first release of this unit of competency in the UET Transmission, Distribution and Rail Sector Training Package Release 2.0.</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2" w:name="O_1178701"/>
      <w:bookmarkEnd w:id="2"/>
      <w:r w:rsidRPr="00B55C1B">
        <w:t>Application</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This unit covers the commissioning of energy/revenue metering schemes in complex situations, including summation, subtraction, generation, bulk supply, interconnector and wholesale metering installations. This includes isolati</w:t>
            </w:r>
            <w:r w:rsidRPr="00B55C1B">
              <w:t>on, inspection, monitoring, testing, adjustment, repair, refurbishment and/or overhaul and functional checks of complex revenue metering schemes. It includes the requirements to prove the functionality of the metering scheme in accordance with electrical i</w:t>
            </w:r>
            <w:r w:rsidRPr="00B55C1B">
              <w:t>nstallation (state and national) standards, metrology procedures and compliance to tariff requirements.</w:t>
            </w:r>
          </w:p>
          <w:p w:rsidR="00000000" w:rsidRPr="00B55C1B" w:rsidP="00B55C1B">
            <w:pPr>
              <w:pStyle w:val="BodyText"/>
            </w:pPr>
            <w:r w:rsidRPr="00B55C1B">
              <w:t>The application of the skills and knowledge described in this unit requires a licence/registration to practice in the workplace subject to regulations f</w:t>
            </w:r>
            <w:r w:rsidRPr="00B55C1B">
              <w:t xml:space="preserve">or undertaking of electrical work.  </w:t>
            </w:r>
          </w:p>
          <w:p w:rsidR="00000000" w:rsidRPr="00B55C1B" w:rsidP="00B55C1B">
            <w:pPr>
              <w:pStyle w:val="BodyText"/>
            </w:pPr>
            <w:r w:rsidRPr="00B55C1B">
              <w:t>Other conditions may apply under state and territory legislative and regulatory licensing requirements which must be confirmed prior to commencing this unit.</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3" w:name="O_1178703"/>
      <w:bookmarkEnd w:id="3"/>
      <w:r w:rsidRPr="00B55C1B">
        <w:t>Pre-requisite Unit</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UEENEED104A Use engin</w:t>
            </w:r>
            <w:r w:rsidRPr="00B55C1B">
              <w:t>eering applications software on personal computers</w:t>
            </w:r>
          </w:p>
          <w:p w:rsidR="00000000" w:rsidRPr="00B55C1B" w:rsidP="00B55C1B">
            <w:pPr>
              <w:pStyle w:val="BodyText"/>
            </w:pPr>
            <w:r w:rsidRPr="00B55C1B">
              <w:t>UEENEEE101A Apply Occupational Health and Safety regulations, codes and practices in the workplace</w:t>
            </w:r>
          </w:p>
          <w:p w:rsidR="00000000" w:rsidRPr="00B55C1B" w:rsidP="00B55C1B">
            <w:pPr>
              <w:pStyle w:val="BodyText"/>
            </w:pPr>
            <w:r w:rsidRPr="00B55C1B">
              <w:t>UEENEEE102A Fabricate, assemble and dismantle utilities industry components</w:t>
            </w:r>
          </w:p>
          <w:p w:rsidR="00000000" w:rsidRPr="00B55C1B" w:rsidP="00B55C1B">
            <w:pPr>
              <w:pStyle w:val="BodyText"/>
            </w:pPr>
            <w:r w:rsidRPr="00B55C1B">
              <w:t xml:space="preserve">UEENEEE104A Solve problems in </w:t>
            </w:r>
            <w:r w:rsidRPr="00B55C1B">
              <w:t>d.c. circuits</w:t>
            </w:r>
          </w:p>
          <w:p w:rsidR="00000000" w:rsidRPr="00B55C1B" w:rsidP="00B55C1B">
            <w:pPr>
              <w:pStyle w:val="BodyText"/>
            </w:pPr>
            <w:r w:rsidRPr="00B55C1B">
              <w:t>UEENEEE105A Fix and secure electrotechnology equipment</w:t>
            </w:r>
          </w:p>
          <w:p w:rsidR="00000000" w:rsidRPr="00B55C1B" w:rsidP="00B55C1B">
            <w:pPr>
              <w:pStyle w:val="BodyText"/>
            </w:pPr>
            <w:r w:rsidRPr="00B55C1B">
              <w:t>UEENEEE107A Use drawings, diagrams, schedules, standards, codes and specifications</w:t>
            </w:r>
          </w:p>
          <w:p w:rsidR="00000000" w:rsidRPr="00B55C1B" w:rsidP="00B55C1B">
            <w:pPr>
              <w:pStyle w:val="BodyText"/>
            </w:pPr>
            <w:r w:rsidRPr="00B55C1B">
              <w:t>UEENEEE124A Compile and produce an energy sector detailed report</w:t>
            </w:r>
          </w:p>
          <w:p w:rsidR="00000000" w:rsidRPr="00B55C1B" w:rsidP="00B55C1B">
            <w:pPr>
              <w:pStyle w:val="BodyText"/>
            </w:pPr>
            <w:r w:rsidRPr="00B55C1B">
              <w:t>UEENEEE125A Provide engineering solutio</w:t>
            </w:r>
            <w:r w:rsidRPr="00B55C1B">
              <w:t>ns for problems in complex multiple path circuits</w:t>
            </w:r>
          </w:p>
          <w:p w:rsidR="00000000" w:rsidRPr="00B55C1B" w:rsidP="00B55C1B">
            <w:pPr>
              <w:pStyle w:val="BodyText"/>
            </w:pPr>
            <w:r w:rsidRPr="00B55C1B">
              <w:t>UEENEEE126A Provide solutions to basic engineering computational problems</w:t>
            </w:r>
          </w:p>
          <w:p w:rsidR="00000000" w:rsidRPr="00B55C1B" w:rsidP="00B55C1B">
            <w:pPr>
              <w:pStyle w:val="BodyText"/>
            </w:pPr>
            <w:r w:rsidRPr="00B55C1B">
              <w:t>UEENEEE137A Document and apply measures to control OHS risks associated with electrotechnology work</w:t>
            </w:r>
          </w:p>
          <w:p w:rsidR="00000000" w:rsidRPr="00B55C1B" w:rsidP="00B55C1B">
            <w:pPr>
              <w:pStyle w:val="BodyText"/>
            </w:pPr>
            <w:r w:rsidRPr="00B55C1B">
              <w:t>UEENEEG006A Solve problems in single and three phase low voltage machines</w:t>
            </w:r>
          </w:p>
          <w:p w:rsidR="00000000" w:rsidRPr="00B55C1B" w:rsidP="00B55C1B">
            <w:pPr>
              <w:pStyle w:val="BodyText"/>
            </w:pPr>
            <w:r w:rsidRPr="00B55C1B">
              <w:t xml:space="preserve">UEENEEG033A Solve problems in single and three phase low voltage electrical apparatus and </w:t>
            </w:r>
            <w:r w:rsidRPr="00B55C1B">
              <w:t>circuits</w:t>
            </w:r>
          </w:p>
          <w:p w:rsidR="00000000" w:rsidRPr="00B55C1B" w:rsidP="00B55C1B">
            <w:pPr>
              <w:pStyle w:val="BodyText"/>
            </w:pPr>
            <w:r w:rsidRPr="00B55C1B">
              <w:t>UEENEEG063A Arrange circuits, control and protection for general electrical install</w:t>
            </w:r>
            <w:r w:rsidRPr="00B55C1B">
              <w:t>ations</w:t>
            </w:r>
          </w:p>
          <w:p w:rsidR="00000000" w:rsidRPr="00B55C1B" w:rsidP="00B55C1B">
            <w:pPr>
              <w:pStyle w:val="BodyText"/>
            </w:pPr>
            <w:r w:rsidRPr="00B55C1B">
              <w:t>UEENEEG076A Install and replace low voltage current transformer metering</w:t>
            </w:r>
          </w:p>
          <w:p w:rsidR="00000000" w:rsidRPr="00B55C1B" w:rsidP="00B55C1B">
            <w:pPr>
              <w:pStyle w:val="BodyText"/>
            </w:pPr>
            <w:r w:rsidRPr="00B55C1B">
              <w:t>UEENEEG101A Solve problems in electromagnetic devices and related circuits</w:t>
            </w:r>
          </w:p>
          <w:p w:rsidR="00000000" w:rsidRPr="00B55C1B" w:rsidP="00B55C1B">
            <w:pPr>
              <w:pStyle w:val="BodyText"/>
            </w:pPr>
            <w:r w:rsidRPr="00B55C1B">
              <w:t>UEENEEG102A Solve problems in low voltage a.c. circuits</w:t>
            </w:r>
          </w:p>
          <w:p w:rsidR="00000000" w:rsidRPr="00B55C1B" w:rsidP="00B55C1B">
            <w:pPr>
              <w:pStyle w:val="BodyText"/>
            </w:pPr>
            <w:r w:rsidRPr="00B55C1B">
              <w:t>UEENEEG103A Install low voltage wiring and ac</w:t>
            </w:r>
            <w:r w:rsidRPr="00B55C1B">
              <w:t>cessories</w:t>
            </w:r>
          </w:p>
          <w:p w:rsidR="00000000" w:rsidRPr="00B55C1B" w:rsidP="00B55C1B">
            <w:pPr>
              <w:pStyle w:val="BodyText"/>
            </w:pPr>
            <w:r w:rsidRPr="00B55C1B">
              <w:t>UEENEEG104A Install appliances, switchgear and associated accessories for low voltage electrical installations</w:t>
            </w:r>
          </w:p>
          <w:p w:rsidR="00000000" w:rsidRPr="00B55C1B" w:rsidP="00B55C1B">
            <w:pPr>
              <w:pStyle w:val="BodyText"/>
            </w:pPr>
            <w:r w:rsidRPr="00B55C1B">
              <w:t>UEENEEG105A Verify compliance and functionality of low voltage general electrical installations</w:t>
            </w:r>
          </w:p>
          <w:p w:rsidR="00000000" w:rsidRPr="00B55C1B" w:rsidP="00B55C1B">
            <w:pPr>
              <w:pStyle w:val="BodyText"/>
            </w:pPr>
            <w:r w:rsidRPr="00B55C1B">
              <w:t>UEENEEG106A Terminate cables, cords and</w:t>
            </w:r>
            <w:r w:rsidRPr="00B55C1B">
              <w:t xml:space="preserve"> accessories for low voltage circuits</w:t>
            </w:r>
          </w:p>
          <w:p w:rsidR="00000000" w:rsidRPr="00B55C1B" w:rsidP="00B55C1B">
            <w:pPr>
              <w:pStyle w:val="BodyText"/>
            </w:pPr>
            <w:r w:rsidRPr="00B55C1B">
              <w:t>UEENEEG107A Select wiring systems and cables for low voltage general electrical installations</w:t>
            </w:r>
          </w:p>
          <w:p w:rsidR="00000000" w:rsidRPr="00B55C1B" w:rsidP="00B55C1B">
            <w:pPr>
              <w:pStyle w:val="BodyText"/>
            </w:pPr>
            <w:r w:rsidRPr="00B55C1B">
              <w:t>UEENEEG108A Trouble-shoot and repair faults in low voltage electrical apparatus and circuits</w:t>
            </w:r>
          </w:p>
          <w:p w:rsidR="00000000" w:rsidRPr="00B55C1B" w:rsidP="00B55C1B">
            <w:pPr>
              <w:pStyle w:val="BodyText"/>
            </w:pPr>
            <w:r w:rsidRPr="00B55C1B">
              <w:t>UEENEEG109A Develop and connect</w:t>
            </w:r>
            <w:r w:rsidRPr="00B55C1B">
              <w:t xml:space="preserve"> electrical control circuits</w:t>
            </w:r>
          </w:p>
          <w:p w:rsidR="00000000" w:rsidRPr="00B55C1B" w:rsidP="00B55C1B">
            <w:pPr>
              <w:pStyle w:val="BodyText"/>
            </w:pPr>
            <w:r w:rsidRPr="00B55C1B">
              <w:t>UEENEEG149A Provide engineering solutions to problems in complex polyphase power circuits</w:t>
            </w:r>
          </w:p>
          <w:p w:rsidR="00000000" w:rsidRPr="00B55C1B" w:rsidP="00B55C1B">
            <w:pPr>
              <w:pStyle w:val="BodyText"/>
            </w:pPr>
            <w:r w:rsidRPr="00B55C1B">
              <w:t>UEENEEG171A Install, set up and commission interval metering</w:t>
            </w:r>
          </w:p>
          <w:p w:rsidR="00000000" w:rsidRPr="00B55C1B" w:rsidP="00B55C1B">
            <w:pPr>
              <w:pStyle w:val="BodyText"/>
            </w:pPr>
            <w:r w:rsidRPr="00B55C1B">
              <w:t>UETDREL001 Apply environmental requirements</w:t>
            </w:r>
          </w:p>
          <w:p w:rsidR="00000000" w:rsidRPr="00B55C1B" w:rsidP="00B55C1B">
            <w:pPr>
              <w:pStyle w:val="BodyText"/>
            </w:pPr>
            <w:r w:rsidRPr="00B55C1B">
              <w:t>UETDREL005 Work safely in the vi</w:t>
            </w:r>
            <w:r w:rsidRPr="00B55C1B">
              <w:t>cinity of live electrical apparatus</w:t>
            </w:r>
          </w:p>
          <w:p w:rsidR="00000000" w:rsidRPr="00B55C1B" w:rsidP="00B55C1B">
            <w:pPr>
              <w:pStyle w:val="BodyText"/>
            </w:pPr>
            <w:r w:rsidRPr="00B55C1B">
              <w:t>UETDRIS005 Implement &amp; monitor power system environmental &amp; sustainable energy management policies &amp; procedures</w:t>
            </w:r>
          </w:p>
          <w:p w:rsidR="00000000" w:rsidRPr="00B55C1B" w:rsidP="00B55C1B">
            <w:pPr>
              <w:pStyle w:val="BodyText"/>
            </w:pPr>
            <w:r w:rsidRPr="00B55C1B">
              <w:t>UETDRIS006 Implement and monitor the power system organisational WHS/OHS policies, procedures and programs</w:t>
            </w:r>
          </w:p>
          <w:p w:rsidR="00000000" w:rsidRPr="00B55C1B" w:rsidP="00B55C1B">
            <w:pPr>
              <w:pStyle w:val="BodyText"/>
            </w:pPr>
            <w:r w:rsidRPr="00B55C1B">
              <w:t>U</w:t>
            </w:r>
            <w:r w:rsidRPr="00B55C1B">
              <w:t>ETDRTS002 Commission energy/revenue metering schemes</w:t>
            </w:r>
          </w:p>
          <w:p w:rsidR="00000000" w:rsidRPr="00B55C1B" w:rsidP="00B55C1B">
            <w:pPr>
              <w:pStyle w:val="BodyText"/>
            </w:pPr>
            <w:r w:rsidRPr="00B55C1B">
              <w:t>UETDRTS012 Install and replace complex energy/revenue metering schemes and associated equipment</w:t>
            </w:r>
          </w:p>
          <w:p w:rsidR="00000000" w:rsidRPr="00B55C1B" w:rsidP="00B55C1B">
            <w:pPr>
              <w:pStyle w:val="BodyText"/>
            </w:pPr>
            <w:r w:rsidRPr="00B55C1B">
              <w:t>UETDRTS013 Install and replace high voltage metering and associated equipment</w:t>
            </w:r>
          </w:p>
          <w:p w:rsidR="00000000" w:rsidRPr="00B55C1B" w:rsidP="00B55C1B">
            <w:pPr>
              <w:pStyle w:val="BodyText"/>
            </w:pPr>
            <w:r w:rsidRPr="00B55C1B">
              <w:t>UETDRTS016 Maintain complianc</w:t>
            </w:r>
            <w:r w:rsidRPr="00B55C1B">
              <w:t>e with national electricity market metrology practices and procedures</w:t>
            </w:r>
          </w:p>
          <w:p w:rsidR="00000000" w:rsidRPr="00B55C1B" w:rsidP="00B55C1B">
            <w:pPr>
              <w:pStyle w:val="BodyText"/>
            </w:pPr>
            <w:r w:rsidRPr="00B55C1B">
              <w:t>UETDRTS020 Management of energy registration data errors for revenue billing purposes</w:t>
            </w:r>
          </w:p>
          <w:p w:rsidR="00000000" w:rsidRPr="00B55C1B" w:rsidP="00B55C1B">
            <w:pPr>
              <w:pStyle w:val="BodyText"/>
            </w:pPr>
            <w:r w:rsidRPr="00B55C1B">
              <w:t>UETDRTS022 Perform current injection testing using phantom load</w:t>
            </w:r>
          </w:p>
          <w:p w:rsidR="00000000" w:rsidRPr="00B55C1B" w:rsidP="00B55C1B">
            <w:pPr>
              <w:pStyle w:val="BodyText"/>
            </w:pPr>
            <w:r w:rsidRPr="00B55C1B">
              <w:t>UETDRTS024 Test and maintain energy/</w:t>
            </w:r>
            <w:r w:rsidRPr="00B55C1B">
              <w:t>revenue metering schemes</w:t>
            </w:r>
          </w:p>
          <w:p w:rsidR="00000000" w:rsidRPr="00B55C1B" w:rsidP="00B55C1B">
            <w:pPr>
              <w:pStyle w:val="BodyText"/>
            </w:pPr>
            <w:r w:rsidRPr="00B55C1B">
              <w:t>UETDRTS025 Test and maintain energy/revenue metering schemes (complex)</w:t>
            </w:r>
          </w:p>
          <w:p w:rsidR="00000000" w:rsidRPr="00B55C1B" w:rsidP="00B55C1B">
            <w:pPr>
              <w:pStyle w:val="BodyText"/>
            </w:pPr>
            <w:r w:rsidRPr="00B55C1B">
              <w:t>UETTDREL15 Respond to power systems technical enquiries and requests</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4" w:name="O_1178705"/>
      <w:bookmarkEnd w:id="4"/>
      <w:r w:rsidRPr="00B55C1B">
        <w:t>Competency Field</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Testing</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5" w:name="O_1178707"/>
      <w:bookmarkEnd w:id="5"/>
      <w:r w:rsidRPr="00B55C1B">
        <w:t>Unit Sector</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Not applicable.</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6" w:name="O_1178709"/>
      <w:bookmarkEnd w:id="6"/>
      <w:r w:rsidRPr="00B55C1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55C1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PERFORMANCE CRITERIA</w:t>
            </w:r>
          </w:p>
        </w:tc>
      </w:tr>
      <w:tr w:rsidTr="00B55C1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Performance criteria describe the performance needed to demonstrate achievement of the element.</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Plan for the commissioning of energy/revenue metering schemes (complex)</w:t>
            </w: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Work health and safety (WHS)/occupational health and safety (OHS) practices/procedures and environmental and sustainable energy procedures, which may influence the commissioning of</w:t>
            </w:r>
            <w:r w:rsidRPr="00B55C1B">
              <w:t xml:space="preserve"> energy/revenue metering schemes (complex), are reviewed and determined</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 xml:space="preserve">Purpose of the commissioning of energy/revenue metering schemes (complex) is established after data is analysed and expected outcomes of the work are confirmed with appropriate </w:t>
            </w:r>
            <w:r w:rsidRPr="00B55C1B">
              <w:t>personnel</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Organisational established procedures, policies and specifications for the commissioning of energy/revenue metering schemes (complex) are obtained or established with appropriate personnel</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Commissioning of energy/revenue metering schemes (complex) procedures are discussed with/directed to appropriate personnel in order to ascertain the project brief</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Commissioning parameters are established from organisational established procedures, p</w:t>
            </w:r>
            <w:r w:rsidRPr="00B55C1B">
              <w:t>olicies and specifications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Equipment/tools and personal protective equipment (PPE) are selected based on specified performance criteria and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Work roles and tasks are allocated according to requirements and individual competencies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Work is prioritised and sequenced for the most efficient/effective outcome, completed within an acceptable timeframe, to a quality standard and in accordance wi</w:t>
            </w:r>
            <w:r w:rsidRPr="00B55C1B">
              <w:t>th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Liaison and communication issues with others/authorised personnel, authorities, clients and customers are resolved and activities coordinated to carry out work</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Risk control measures are identified, prioritised and e</w:t>
            </w:r>
            <w:r w:rsidRPr="00B55C1B">
              <w:t>valuated against the work schedule</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Relevant internal/external work permits are obtained to coordinate the performance of work according to requirements and/or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Carry out the commissioning of energy/revenue metering schemes (complex)</w:t>
            </w: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 xml:space="preserve">WHS/OHS and sustainable energy principles, functionality and practices to prevent the incidents of accidents and minimise waste are incorporated into the project </w:t>
            </w:r>
            <w:r w:rsidRPr="00B55C1B">
              <w:t>in accordance with requirements and/or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First aid, rescue and other related work procedures are performed according to requirements and/or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Lifting, climbing and use of power tools/equipment, techni</w:t>
            </w:r>
            <w:r w:rsidRPr="00B55C1B">
              <w:t>ques and practices are safely exercised according to requirements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Hazard warnings and safety signs are recognised and hazards and assessed WHS/OHS risks are reported to immediate authorised personnel for directions according to established procedure</w:t>
            </w:r>
            <w:r w:rsidRPr="00B55C1B">
              <w:t>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Remedial actions are taken to overcome any shortfalls encountered in the work schedule according to requirements and/or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Testing equipment is used in accordance with the work schedule and requiremen</w:t>
            </w:r>
            <w:r w:rsidRPr="00B55C1B">
              <w:t>ts and/or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Commissioning of energy/revenue metering schemes (complex) is carried out in accordance with the work schedule</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Technical advice is given regarding potential hazards, safety risks and control measures so that m</w:t>
            </w:r>
            <w:r w:rsidRPr="00B55C1B">
              <w:t>onitoring and preventative action can be undertaken and/or appropriate authorities consulted, where necessary, in accordance with requirements and established procedures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Essential knowledge and associated skills are applied in the safe commissioning of energy/revenue metering schemes (complex) to ensure completion in an agreed timeframe according to requirements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 xml:space="preserve">Solutions to non-routine problems are identified and </w:t>
            </w:r>
            <w:r w:rsidRPr="00B55C1B">
              <w:t>actioned, using essential knowledge and associated skills, according to requirements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Quality of work is monitored against personal performance agreement and/or established organisational and professional standards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rPr>
                <w:rStyle w:val="SpecialBold"/>
              </w:rPr>
              <w:t>Complete the commissioning of e</w:t>
            </w:r>
            <w:r w:rsidRPr="00B55C1B">
              <w:rPr>
                <w:rStyle w:val="SpecialBold"/>
              </w:rPr>
              <w:t>nergy/revenue metering schemes (complex)</w:t>
            </w: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Final inspections of the commissioning of energy/revenue metering schemes (complex) using routine tests and acceptance tests are undertaken to ensure they comply with all requirements and include all specificati</w:t>
            </w:r>
            <w:r w:rsidRPr="00B55C1B">
              <w:t>ons and documents needed to complete the project</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Appropriate internal/external personnel are notified of completion and reports and/or completion documents are finalised/commissioned according to established procedures and timeframes</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Reports and/or completion documents are submitted to relevant personnel/organisations for approval and, where applicable, statutory or regulatory approval</w:t>
            </w:r>
          </w:p>
        </w:tc>
      </w:tr>
      <w:tr w:rsidTr="00B55C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55C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Approved copies of routine testing and acceptance testing procedures/activities/results, for t</w:t>
            </w:r>
            <w:r w:rsidRPr="00B55C1B">
              <w:t>he commissioning of energy/revenue metering schemes (complex), documents are issued and records updated in accordance with established procedures</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7" w:name="O_1178711"/>
      <w:bookmarkEnd w:id="7"/>
      <w:r w:rsidRPr="00B55C1B">
        <w:t>Foundation Skills</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Foundation skills essential to performance are explicit in the performa</w:t>
            </w:r>
            <w:r w:rsidRPr="00B55C1B">
              <w:t>nce criteria of this unit of competency.</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8" w:name="O_1178713"/>
      <w:bookmarkEnd w:id="8"/>
      <w:r w:rsidRPr="00B55C1B">
        <w:t>Range of Conditions</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Range is restricted to essential operating conditions and any other variables essential to the work environment.</w:t>
            </w:r>
          </w:p>
          <w:p w:rsidR="00000000" w:rsidRPr="00B55C1B" w:rsidP="00B55C1B">
            <w:pPr>
              <w:pStyle w:val="BodyText"/>
            </w:pPr>
            <w:r w:rsidRPr="00B55C1B">
              <w:t>Non-essential conditions may be found in the UET Transmission, Distribution and Rail Sector Training Package Companion Volume Implementation Guide.</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9" w:name="O_1178715"/>
      <w:bookmarkEnd w:id="9"/>
      <w:r w:rsidRPr="00B55C1B">
        <w:t>Unit Mapping Information</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 xml:space="preserve">This unit replaces and is equivalent to UETTDRTS47 Commission </w:t>
            </w:r>
            <w:r w:rsidRPr="00B55C1B">
              <w:t>energy/revenue metering schemes (complex).</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10" w:name="O_1178732"/>
      <w:bookmarkEnd w:id="10"/>
      <w:r w:rsidRPr="00B55C1B">
        <w:t>Links</w:t>
      </w:r>
    </w:p>
    <w:p w:rsidR="00000000" w:rsidRPr="00B55C1B" w:rsidP="007F4C9E">
      <w:pPr>
        <w:pStyle w:val="BodyText"/>
      </w:pPr>
      <w:r w:rsidRPr="00B55C1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71BB4">
        <w:rPr>
          <w:rStyle w:val="Hyperlink"/>
        </w:rPr>
        <w:t>https://vetnet.gov.au/Pages/TrainingDocs.aspx?q=229bace1-b7bc-4653-9300-dffb13ecfad7</w:t>
      </w:r>
      <w:r>
        <w:fldChar w:fldCharType="end"/>
      </w:r>
    </w:p>
    <w:p w:rsidR="00000000" w:rsidRPr="00B55C1B" w:rsidP="007F4C9E">
      <w:pPr>
        <w:pStyle w:val="BodyText"/>
        <w:sectPr w:rsidSect="00B55C1B">
          <w:headerReference w:type="default" r:id="rId10"/>
          <w:footerReference w:type="default" r:id="rId11"/>
          <w:pgSz w:w="11908" w:h="16833"/>
          <w:pgMar w:top="1702" w:right="1418" w:bottom="1702" w:left="1418" w:header="992" w:footer="992" w:gutter="0"/>
          <w:cols w:space="720"/>
          <w:noEndnote/>
          <w:docGrid w:linePitch="299"/>
        </w:sectPr>
      </w:pPr>
    </w:p>
    <w:p w:rsidR="00000000" w:rsidRPr="00B55C1B" w:rsidP="00B55C1B">
      <w:pPr>
        <w:pStyle w:val="SuperHeading"/>
      </w:pPr>
      <w:r w:rsidRPr="00B55C1B">
        <w:t>Assessment Requirements for UETDRTS003 Commission energy/revenue metering schemes (complex)</w:t>
      </w:r>
    </w:p>
    <w:p w:rsidR="00000000" w:rsidRPr="00B55C1B" w:rsidP="00B55C1B">
      <w:pPr>
        <w:pStyle w:val="Heading1"/>
      </w:pPr>
      <w:bookmarkStart w:id="11" w:name="O_1178721"/>
      <w:bookmarkEnd w:id="11"/>
      <w:r w:rsidRPr="00B55C1B">
        <w:t>Modification History</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Release 1. This is the first release of this unit of competency in the UET Transmission, Distribution and Rail Sector Training Package Release 2.0.</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12" w:name="O_1178722"/>
      <w:bookmarkEnd w:id="12"/>
      <w:r w:rsidRPr="00B55C1B">
        <w:t>Performance Evidence</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Evi</w:t>
            </w:r>
            <w:r w:rsidRPr="00B55C1B">
              <w:t xml:space="preserve">dence required to demonstrate competence in this unit must be relevant to and satisfy all of the requirements of the elements and performance criteria on at least two separate occasions and include:  </w:t>
            </w:r>
          </w:p>
        </w:tc>
      </w:tr>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ListBullet"/>
            </w:pPr>
            <w:r w:rsidRPr="00B55C1B">
              <w:t>applying relevant work health and safety (WHS)/occupa</w:t>
            </w:r>
            <w:r w:rsidRPr="00B55C1B">
              <w:t>tional health and safety (OHS) requirements, including the use of risk control measures</w:t>
            </w:r>
          </w:p>
          <w:p w:rsidR="00000000" w:rsidRPr="00B55C1B" w:rsidP="00B55C1B">
            <w:pPr>
              <w:pStyle w:val="ListBullet"/>
            </w:pPr>
            <w:r w:rsidRPr="00B55C1B">
              <w:t>applying sustainable energy principles and practices</w:t>
            </w:r>
          </w:p>
          <w:p w:rsidR="00000000" w:rsidRPr="00B55C1B" w:rsidP="00B55C1B">
            <w:pPr>
              <w:pStyle w:val="ListBullet"/>
            </w:pPr>
            <w:r w:rsidRPr="00B55C1B">
              <w:t>performing, on at least three (3) occasions, the commissioning of at least seven (7) of the following complex meter</w:t>
            </w:r>
            <w:r w:rsidRPr="00B55C1B">
              <w:t>ing scheme types:</w:t>
            </w:r>
          </w:p>
          <w:p w:rsidR="00000000" w:rsidRPr="00B55C1B" w:rsidP="00B55C1B">
            <w:pPr>
              <w:pStyle w:val="ListBullet2"/>
            </w:pPr>
            <w:r w:rsidRPr="00B55C1B">
              <w:t>multiple feeder high voltage (HV) and low voltage (LV) customers</w:t>
            </w:r>
          </w:p>
          <w:p w:rsidR="00000000" w:rsidRPr="00B55C1B" w:rsidP="00B55C1B">
            <w:pPr>
              <w:pStyle w:val="ListBullet2"/>
            </w:pPr>
            <w:r w:rsidRPr="00B55C1B">
              <w:t>summation</w:t>
            </w:r>
          </w:p>
          <w:p w:rsidR="00000000" w:rsidRPr="00B55C1B" w:rsidP="00B55C1B">
            <w:pPr>
              <w:pStyle w:val="ListBullet2"/>
            </w:pPr>
            <w:r w:rsidRPr="00B55C1B">
              <w:t>subtraction</w:t>
            </w:r>
          </w:p>
          <w:p w:rsidR="00000000" w:rsidRPr="00B55C1B" w:rsidP="00B55C1B">
            <w:pPr>
              <w:pStyle w:val="ListBullet2"/>
            </w:pPr>
            <w:r w:rsidRPr="00B55C1B">
              <w:t>interposing</w:t>
            </w:r>
          </w:p>
          <w:p w:rsidR="00000000" w:rsidRPr="00B55C1B" w:rsidP="00B55C1B">
            <w:pPr>
              <w:pStyle w:val="ListBullet2"/>
            </w:pPr>
            <w:r w:rsidRPr="00B55C1B">
              <w:t>voltage changeover schemes</w:t>
            </w:r>
          </w:p>
          <w:p w:rsidR="00000000" w:rsidRPr="00B55C1B" w:rsidP="00B55C1B">
            <w:pPr>
              <w:pStyle w:val="ListBullet2"/>
            </w:pPr>
            <w:r w:rsidRPr="00B55C1B">
              <w:t>generation</w:t>
            </w:r>
          </w:p>
          <w:p w:rsidR="00000000" w:rsidRPr="00B55C1B" w:rsidP="00B55C1B">
            <w:pPr>
              <w:pStyle w:val="ListBullet2"/>
            </w:pPr>
            <w:r w:rsidRPr="00B55C1B">
              <w:t>zone substation</w:t>
            </w:r>
          </w:p>
          <w:p w:rsidR="00000000" w:rsidRPr="00B55C1B" w:rsidP="00B55C1B">
            <w:pPr>
              <w:pStyle w:val="ListBullet2"/>
            </w:pPr>
            <w:r w:rsidRPr="00B55C1B">
              <w:t>bulk supply</w:t>
            </w:r>
          </w:p>
          <w:p w:rsidR="00000000" w:rsidRPr="00B55C1B" w:rsidP="00B55C1B">
            <w:pPr>
              <w:pStyle w:val="ListBullet2"/>
            </w:pPr>
            <w:r w:rsidRPr="00B55C1B">
              <w:t>interconnector</w:t>
            </w:r>
          </w:p>
          <w:p w:rsidR="00000000" w:rsidRPr="00B55C1B" w:rsidP="00B55C1B">
            <w:pPr>
              <w:pStyle w:val="ListBullet2"/>
            </w:pPr>
            <w:r w:rsidRPr="00B55C1B">
              <w:t>wholesale metering</w:t>
            </w:r>
          </w:p>
          <w:p w:rsidR="00000000" w:rsidRPr="00B55C1B" w:rsidP="00B55C1B">
            <w:pPr>
              <w:pStyle w:val="ListBullet"/>
            </w:pPr>
            <w:r w:rsidRPr="00B55C1B">
              <w:t>performing, on at least three (3) occasions, at least six (6) of the following activities:</w:t>
            </w:r>
          </w:p>
          <w:p w:rsidR="00000000" w:rsidRPr="00B55C1B" w:rsidP="00B55C1B">
            <w:pPr>
              <w:pStyle w:val="ListBullet2"/>
            </w:pPr>
            <w:r w:rsidRPr="00B55C1B">
              <w:t>isolation</w:t>
            </w:r>
          </w:p>
          <w:p w:rsidR="00000000" w:rsidRPr="00B55C1B" w:rsidP="00B55C1B">
            <w:pPr>
              <w:pStyle w:val="ListBullet2"/>
            </w:pPr>
            <w:r w:rsidRPr="00B55C1B">
              <w:t>inspection</w:t>
            </w:r>
          </w:p>
          <w:p w:rsidR="00000000" w:rsidRPr="00B55C1B" w:rsidP="00B55C1B">
            <w:pPr>
              <w:pStyle w:val="ListBullet2"/>
            </w:pPr>
            <w:r w:rsidRPr="00B55C1B">
              <w:t>monitoring</w:t>
            </w:r>
          </w:p>
          <w:p w:rsidR="00000000" w:rsidRPr="00B55C1B" w:rsidP="00B55C1B">
            <w:pPr>
              <w:pStyle w:val="ListBullet2"/>
            </w:pPr>
            <w:r w:rsidRPr="00B55C1B">
              <w:t>testing</w:t>
            </w:r>
          </w:p>
          <w:p w:rsidR="00000000" w:rsidRPr="00B55C1B" w:rsidP="00B55C1B">
            <w:pPr>
              <w:pStyle w:val="ListBullet2"/>
            </w:pPr>
            <w:r w:rsidRPr="00B55C1B">
              <w:t>adjustment</w:t>
            </w:r>
          </w:p>
          <w:p w:rsidR="00000000" w:rsidRPr="00B55C1B" w:rsidP="00B55C1B">
            <w:pPr>
              <w:pStyle w:val="ListBullet2"/>
            </w:pPr>
            <w:r w:rsidRPr="00B55C1B">
              <w:t>repair</w:t>
            </w:r>
          </w:p>
          <w:p w:rsidR="00000000" w:rsidRPr="00B55C1B" w:rsidP="00B55C1B">
            <w:pPr>
              <w:pStyle w:val="ListBullet2"/>
            </w:pPr>
            <w:r w:rsidRPr="00B55C1B">
              <w:t>refurbishment and/or overhaul</w:t>
            </w:r>
          </w:p>
          <w:p w:rsidR="00000000" w:rsidRPr="00B55C1B" w:rsidP="00B55C1B">
            <w:pPr>
              <w:pStyle w:val="ListBullet2"/>
            </w:pPr>
            <w:r w:rsidRPr="00B55C1B">
              <w:t>functional checks of complex revenue metering schemes</w:t>
            </w:r>
          </w:p>
          <w:p w:rsidR="00000000" w:rsidRPr="00B55C1B" w:rsidP="00B55C1B">
            <w:pPr>
              <w:pStyle w:val="ListBullet"/>
            </w:pPr>
            <w:r w:rsidRPr="00B55C1B">
              <w:t>performing, on at least three (3) occasions, all the following activities:</w:t>
            </w:r>
          </w:p>
          <w:p w:rsidR="00000000" w:rsidRPr="00B55C1B" w:rsidP="00B55C1B">
            <w:pPr>
              <w:pStyle w:val="ListBullet2"/>
            </w:pPr>
            <w:r w:rsidRPr="00B55C1B">
              <w:t>ensuring meter function using multiple proprietary software applications</w:t>
            </w:r>
          </w:p>
          <w:p w:rsidR="00000000" w:rsidRPr="00B55C1B" w:rsidP="00B55C1B">
            <w:pPr>
              <w:pStyle w:val="ListBullet2"/>
            </w:pPr>
            <w:r w:rsidRPr="00B55C1B">
              <w:t>determining energy flows, voltage, current and phasor relationships</w:t>
            </w:r>
          </w:p>
          <w:p w:rsidR="00000000" w:rsidRPr="00B55C1B" w:rsidP="00B55C1B">
            <w:pPr>
              <w:pStyle w:val="ListBullet2"/>
            </w:pPr>
            <w:r w:rsidRPr="00B55C1B">
              <w:t>validating against independent informat</w:t>
            </w:r>
            <w:r w:rsidRPr="00B55C1B">
              <w:t>ion sources and test results to ensure that the installation is operating within prescribed limits (enterprise, manufacturer and regulated energy market requirements)</w:t>
            </w:r>
          </w:p>
          <w:p w:rsidR="00000000" w:rsidRPr="00B55C1B" w:rsidP="00B55C1B">
            <w:pPr>
              <w:pStyle w:val="ListBullet2"/>
            </w:pPr>
            <w:r w:rsidRPr="00B55C1B">
              <w:t>validation of the actual meter energy data against meter data provider remote data stream</w:t>
            </w:r>
            <w:r w:rsidRPr="00B55C1B">
              <w:t>s</w:t>
            </w:r>
          </w:p>
          <w:p w:rsidR="00000000" w:rsidRPr="00B55C1B" w:rsidP="00B55C1B">
            <w:pPr>
              <w:pStyle w:val="ListBullet2"/>
            </w:pPr>
            <w:r w:rsidRPr="00B55C1B">
              <w:t>calculating and recording the overall installation site</w:t>
            </w:r>
          </w:p>
          <w:p w:rsidR="00000000" w:rsidRPr="00B55C1B" w:rsidP="00B55C1B">
            <w:pPr>
              <w:pStyle w:val="ListBullet2"/>
            </w:pPr>
            <w:r w:rsidRPr="00B55C1B">
              <w:t>ensuring compliance with regulated energy market compliance</w:t>
            </w:r>
          </w:p>
          <w:p w:rsidR="00000000" w:rsidRPr="00B55C1B" w:rsidP="00B55C1B">
            <w:pPr>
              <w:pStyle w:val="ListBullet2"/>
            </w:pPr>
            <w:r w:rsidRPr="00B55C1B">
              <w:t>endorsing the site overall accuracy and installation compliance as the technical representative authorised by the metering provider</w:t>
            </w:r>
          </w:p>
          <w:p w:rsidR="00000000" w:rsidRPr="00B55C1B" w:rsidP="00B55C1B">
            <w:pPr>
              <w:pStyle w:val="ListBullet2"/>
            </w:pPr>
            <w:r w:rsidRPr="00B55C1B">
              <w:t>ensuring all records of the commissioning of energy/revenue metering schemes (complex) are complete and forwarded to the appropriate authority in accordance with regulatory requirements</w:t>
            </w:r>
          </w:p>
          <w:p w:rsidR="00000000" w:rsidRPr="00B55C1B" w:rsidP="00B55C1B">
            <w:pPr>
              <w:pStyle w:val="ListBullet"/>
            </w:pPr>
            <w:r w:rsidRPr="00B55C1B">
              <w:t>dealing with unplanned events on at least one (1) occasion.</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13" w:name="O_1178724"/>
      <w:bookmarkEnd w:id="13"/>
      <w:r w:rsidRPr="00B55C1B">
        <w:t>Knowledge Evidence</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5C1B">
            <w:pPr>
              <w:pStyle w:val="BodyText"/>
              <w:rPr>
                <w:lang w:val="en-NZ"/>
              </w:rPr>
            </w:pPr>
            <w:r w:rsidRPr="00B55C1B">
              <w:t>Evidence required to demonstrate competence in this unit must be relevant to and satisfy all of the requirements of the elements and performance criteria and include knowledge of:</w:t>
            </w:r>
          </w:p>
        </w:tc>
      </w:tr>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ListBullet"/>
            </w:pPr>
            <w:r w:rsidRPr="00B55C1B">
              <w:t xml:space="preserve">additional hardware components which </w:t>
            </w:r>
            <w:r w:rsidRPr="00B55C1B">
              <w:t>add complexity and the possibility for greater uncertainty in overall accuracy</w:t>
            </w:r>
          </w:p>
          <w:p w:rsidR="00000000" w:rsidRPr="00B55C1B" w:rsidP="00B55C1B">
            <w:pPr>
              <w:pStyle w:val="ListBullet"/>
            </w:pPr>
            <w:r w:rsidRPr="00B55C1B">
              <w:t>calculations are more complex and require consideration of multiple sources of errors to accurately determine the overall site errors</w:t>
            </w:r>
          </w:p>
          <w:p w:rsidR="00000000" w:rsidRPr="00B55C1B" w:rsidP="00B55C1B">
            <w:pPr>
              <w:pStyle w:val="ListBullet"/>
            </w:pPr>
            <w:r w:rsidRPr="00B55C1B">
              <w:t>calculation and verification of correct app</w:t>
            </w:r>
            <w:r w:rsidRPr="00B55C1B">
              <w:t>lication of transformer losses, transmission line losses and correction factors in meter programming</w:t>
            </w:r>
          </w:p>
          <w:p w:rsidR="00000000" w:rsidRPr="00B55C1B" w:rsidP="00B55C1B">
            <w:pPr>
              <w:pStyle w:val="ListBullet"/>
            </w:pPr>
            <w:r w:rsidRPr="00B55C1B">
              <w:t>determining the inputs and relationships required of physical metering points to establish and verify logical metering schemes</w:t>
            </w:r>
          </w:p>
          <w:p w:rsidR="00000000" w:rsidRPr="00B55C1B" w:rsidP="00B55C1B">
            <w:pPr>
              <w:pStyle w:val="ListBullet"/>
            </w:pPr>
            <w:r w:rsidRPr="00B55C1B">
              <w:t>consideration to all sources</w:t>
            </w:r>
            <w:r w:rsidRPr="00B55C1B">
              <w:t xml:space="preserve"> of burden on the metering instrument transformers and ensuring the instrument transformer is operating within its accuracy limits</w:t>
            </w:r>
          </w:p>
          <w:p w:rsidR="00000000" w:rsidRPr="00B55C1B" w:rsidP="00B55C1B">
            <w:pPr>
              <w:pStyle w:val="ListBullet"/>
            </w:pPr>
            <w:r w:rsidRPr="00B55C1B">
              <w:t>communicating with market participants, including meter data provider and responsible person</w:t>
            </w:r>
          </w:p>
          <w:p w:rsidR="00000000" w:rsidRPr="00B55C1B" w:rsidP="00B55C1B">
            <w:pPr>
              <w:pStyle w:val="ListBullet"/>
            </w:pPr>
            <w:r w:rsidRPr="00B55C1B">
              <w:t>knowledge of high fault currents</w:t>
            </w:r>
          </w:p>
          <w:p w:rsidR="00000000" w:rsidRPr="00B55C1B" w:rsidP="00B55C1B">
            <w:pPr>
              <w:pStyle w:val="ListBullet"/>
            </w:pPr>
            <w:r w:rsidRPr="00B55C1B">
              <w:t>risk assessments and safe systems of work.</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14" w:name="O_1178726"/>
      <w:bookmarkEnd w:id="14"/>
      <w:r w:rsidRPr="00B55C1B">
        <w:t>Assessment Conditions</w:t>
      </w:r>
    </w:p>
    <w:tbl>
      <w:tblPr>
        <w:tblW w:w="9497" w:type="dxa"/>
        <w:tblLayout w:type="fixed"/>
        <w:tblCellMar>
          <w:left w:w="62" w:type="dxa"/>
          <w:right w:w="62" w:type="dxa"/>
        </w:tblCellMar>
        <w:tblLook w:val="0000"/>
      </w:tblPr>
      <w:tblGrid>
        <w:gridCol w:w="9497"/>
      </w:tblGrid>
      <w:tr w:rsidTr="00B55C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5C1B" w:rsidP="00B55C1B">
            <w:pPr>
              <w:pStyle w:val="BodyText"/>
            </w:pPr>
            <w:r w:rsidRPr="00B55C1B">
              <w:t>Assessors must hold credentials specified within the Standards for Registered Training Organisations current at the time of assessment.</w:t>
            </w:r>
          </w:p>
          <w:p w:rsidR="00000000" w:rsidRPr="00B55C1B" w:rsidP="00B55C1B">
            <w:pPr>
              <w:pStyle w:val="BodyText"/>
            </w:pPr>
            <w:r w:rsidRPr="00B55C1B">
              <w:t>Assessment must satisfy the Principles of Assessment and Rules of Evidence and all regulatory requirements included within the Standards for Registered Training Organisations current at the time of assessment.</w:t>
            </w:r>
          </w:p>
          <w:p w:rsidR="00000000" w:rsidRPr="00B55C1B" w:rsidP="00B55C1B">
            <w:pPr>
              <w:pStyle w:val="BodyText"/>
            </w:pPr>
            <w:r w:rsidRPr="00B55C1B">
              <w:t>Assessment must occur in workplace operational</w:t>
            </w:r>
            <w:r w:rsidRPr="00B55C1B">
              <w:t xml:space="preserve"> situations where it is appropriate to do so; where this is not appropriate, assessment must occur in simulated conditions involving realistic and authentic activities that replicate operational workplace conditions.</w:t>
            </w:r>
          </w:p>
          <w:p w:rsidR="00000000" w:rsidRPr="00B55C1B" w:rsidP="00B55C1B">
            <w:pPr>
              <w:pStyle w:val="BodyText"/>
            </w:pPr>
            <w:r w:rsidRPr="00B55C1B">
              <w:t>Assessment processes and techniques mus</w:t>
            </w:r>
            <w:r w:rsidRPr="00B55C1B">
              <w:t>t be appropriate to the language, literacy and numeracy requirements of the work being performed and the needs of the candidate.</w:t>
            </w:r>
          </w:p>
          <w:p w:rsidR="00000000" w:rsidRPr="00B55C1B" w:rsidP="00B55C1B">
            <w:pPr>
              <w:pStyle w:val="BodyText"/>
            </w:pPr>
            <w:r w:rsidRPr="00B55C1B">
              <w:t>Resources for assessment must include access to:</w:t>
            </w:r>
          </w:p>
          <w:p w:rsidR="00000000" w:rsidRPr="00B55C1B" w:rsidP="00B55C1B">
            <w:pPr>
              <w:pStyle w:val="ListBullet"/>
            </w:pPr>
            <w:r w:rsidRPr="00B55C1B">
              <w:t>a range of relevant exercises, case studies and/or other simulations</w:t>
            </w:r>
          </w:p>
          <w:p w:rsidR="00000000" w:rsidRPr="00B55C1B" w:rsidP="00B55C1B">
            <w:pPr>
              <w:pStyle w:val="ListBullet"/>
            </w:pPr>
            <w:r w:rsidRPr="00B55C1B">
              <w:t>relevant</w:t>
            </w:r>
            <w:r w:rsidRPr="00B55C1B">
              <w:t xml:space="preserve"> and appropriate materials, tools, facilities, equipment and personal protective equipment (PPE) currently used in industry</w:t>
            </w:r>
          </w:p>
          <w:p w:rsidR="00000000" w:rsidRPr="00B55C1B" w:rsidP="00B55C1B">
            <w:pPr>
              <w:pStyle w:val="ListBullet"/>
            </w:pPr>
            <w:r w:rsidRPr="00B55C1B">
              <w:t xml:space="preserve">applicable documentation, including workplace procedures, relevant industry standards, equipment specifications, regulations, codes </w:t>
            </w:r>
            <w:r w:rsidRPr="00B55C1B">
              <w:t>of practice and operation manuals.</w:t>
            </w:r>
          </w:p>
        </w:tc>
      </w:tr>
    </w:tbl>
    <w:p w:rsidR="00000000" w:rsidRPr="00B55C1B" w:rsidP="00B55C1B">
      <w:pPr>
        <w:pStyle w:val="NoPaddingFontSize1"/>
      </w:pPr>
    </w:p>
    <w:p w:rsidR="00000000" w:rsidRPr="00B55C1B" w:rsidP="00B55C1B">
      <w:pPr>
        <w:pStyle w:val="AllowPageBreak"/>
      </w:pPr>
    </w:p>
    <w:p w:rsidR="00000000" w:rsidRPr="00B55C1B" w:rsidP="00B55C1B">
      <w:pPr>
        <w:pStyle w:val="Heading1"/>
      </w:pPr>
      <w:bookmarkStart w:id="15" w:name="O_1178734"/>
      <w:bookmarkEnd w:id="15"/>
      <w:r w:rsidRPr="00B55C1B">
        <w:t>Links</w:t>
      </w:r>
    </w:p>
    <w:p w:rsidR="00000000" w:rsidRPr="00B55C1B" w:rsidP="007F4C9E">
      <w:pPr>
        <w:pStyle w:val="BodyText"/>
      </w:pPr>
      <w:r w:rsidRPr="00B55C1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71BB4">
        <w:rPr>
          <w:rStyle w:val="Hyperlink"/>
        </w:rPr>
        <w:t>https://vetnet.gov.au/Pages/TrainingDocs.aspx?q=229bace1-b7bc-4653-9300-dffb13ecfad7</w:t>
      </w:r>
      <w:r>
        <w:fldChar w:fldCharType="end"/>
      </w:r>
    </w:p>
    <w:p w:rsidR="00000000" w:rsidRPr="00B55C1B" w:rsidP="00B55C1B"/>
    <w:sectPr w:rsidSect="00B55C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rsidRPr="007F4C9E" w:rsidP="007F4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9E" w:rsidP="00B55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4C9E" w:rsidP="00B55C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4C9E" w:rsidP="00B55C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rsidP="00B55C1B">
    <w:pPr>
      <w:pStyle w:val="Footer"/>
      <w:framePr w:wrap="around"/>
    </w:pPr>
    <w:r>
      <w:fldChar w:fldCharType="begin"/>
    </w:r>
    <w:r>
      <w:instrText xml:space="preserve"> DOCPROPERTY  Subject  \* MERGEFORMAT </w:instrText>
    </w:r>
    <w:r>
      <w:fldChar w:fldCharType="separate"/>
    </w:r>
    <w:r w:rsidR="007F4C9E">
      <w:t>Approved</w:t>
    </w:r>
    <w:r w:rsidR="007F4C9E">
      <w:fldChar w:fldCharType="end"/>
    </w:r>
    <w:r>
      <w:tab/>
      <w:t xml:space="preserve">Page </w:t>
    </w:r>
    <w:r>
      <w:fldChar w:fldCharType="begin"/>
    </w:r>
    <w:r>
      <w:instrText xml:space="preserve"> PAGE  \* Arabic  \* MERGEFORMAT </w:instrText>
    </w:r>
    <w:r>
      <w:fldChar w:fldCharType="separate"/>
    </w:r>
    <w:r w:rsidR="007F4C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4C9E">
      <w:rPr>
        <w:noProof/>
      </w:rPr>
      <w:t>6</w:t>
    </w:r>
    <w:r>
      <w:rPr>
        <w:noProof/>
      </w:rPr>
      <w:fldChar w:fldCharType="end"/>
    </w:r>
  </w:p>
  <w:p w:rsidR="00B55C1B" w:rsidP="00B55C1B">
    <w:pPr>
      <w:pStyle w:val="Footer"/>
      <w:framePr w:wrap="around"/>
    </w:pPr>
    <w:r>
      <w:t xml:space="preserve">© Commonwealth of Australia, </w:t>
    </w:r>
    <w:r>
      <w:fldChar w:fldCharType="begin"/>
    </w:r>
    <w:r>
      <w:instrText xml:space="preserve"> DATE  \@ "yyyy"  \* MERGEFORMAT </w:instrText>
    </w:r>
    <w:r>
      <w:fldChar w:fldCharType="separate"/>
    </w:r>
    <w:r w:rsidR="007F4C9E">
      <w:rPr>
        <w:noProof/>
      </w:rPr>
      <w:t>2025</w:t>
    </w:r>
    <w:r>
      <w:fldChar w:fldCharType="end"/>
    </w:r>
    <w:r>
      <w:tab/>
    </w:r>
    <w:r>
      <w:fldChar w:fldCharType="begin"/>
    </w:r>
    <w:r>
      <w:instrText xml:space="preserve"> DOCPROPERTY  Author  \* MERGEFORMAT </w:instrText>
    </w:r>
    <w:r>
      <w:fldChar w:fldCharType="separate"/>
    </w:r>
    <w:r w:rsidR="007F4C9E">
      <w:t>Powering Skills Organisation</w:t>
    </w:r>
    <w:r w:rsidR="007F4C9E">
      <w:fldChar w:fldCharType="end"/>
    </w:r>
  </w:p>
  <w:p w:rsidR="00B55C1B" w:rsidP="00B55C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C1B" w:rsidRPr="007F4C9E" w:rsidP="007F4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9E" w:rsidRPr="002D2AF8" w:rsidP="00B55C1B">
    <w:pPr>
      <w:pStyle w:val="Header"/>
      <w:framePr w:wrap="around"/>
    </w:pPr>
    <w:r>
      <w:fldChar w:fldCharType="begin"/>
    </w:r>
    <w:r>
      <w:instrText xml:space="preserve"> TITLE   \* MERGEFORMAT </w:instrText>
    </w:r>
    <w:r>
      <w:fldChar w:fldCharType="separate"/>
    </w:r>
    <w:r>
      <w:t>UETDRTS003 Commission energy/revenue metering schemes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4C9E" w:rsidP="00B55C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1B" w:rsidRPr="002D2AF8" w:rsidP="00B55C1B">
    <w:pPr>
      <w:pStyle w:val="Header"/>
      <w:framePr w:wrap="around"/>
    </w:pPr>
    <w:r>
      <w:fldChar w:fldCharType="begin"/>
    </w:r>
    <w:r>
      <w:instrText xml:space="preserve"> TITLE   \* MERGEFORMAT </w:instrText>
    </w:r>
    <w:r>
      <w:fldChar w:fldCharType="separate"/>
    </w:r>
    <w:r w:rsidR="007F4C9E">
      <w:t>UETDRTS003 Commission energy/revenue metering schemes (complex)</w:t>
    </w:r>
    <w:r w:rsidR="007F4C9E">
      <w:fldChar w:fldCharType="end"/>
    </w:r>
    <w:r>
      <w:tab/>
      <w:t xml:space="preserve">Date this document was generated: </w:t>
    </w:r>
    <w:r>
      <w:fldChar w:fldCharType="begin"/>
    </w:r>
    <w:r>
      <w:instrText xml:space="preserve"> CREATEDATE  \@ "d MMMM yyyy"  \* MERGEFORMAT </w:instrText>
    </w:r>
    <w:r>
      <w:fldChar w:fldCharType="separate"/>
    </w:r>
    <w:r w:rsidR="007F4C9E">
      <w:rPr>
        <w:noProof/>
      </w:rPr>
      <w:t>2 March 2025</w:t>
    </w:r>
    <w:r>
      <w:fldChar w:fldCharType="end"/>
    </w:r>
  </w:p>
  <w:p w:rsidR="00B55C1B" w:rsidP="00B55C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61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D6E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CA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C1B"/>
    <w:pPr>
      <w:spacing w:before="360" w:after="60"/>
      <w:outlineLvl w:val="0"/>
    </w:pPr>
    <w:rPr>
      <w:sz w:val="32"/>
    </w:rPr>
  </w:style>
  <w:style w:type="paragraph" w:styleId="Heading2">
    <w:name w:val="heading 2"/>
    <w:basedOn w:val="HeadingBase"/>
    <w:next w:val="BodyText"/>
    <w:link w:val="Heading2Char"/>
    <w:qFormat/>
    <w:rsid w:val="00B55C1B"/>
    <w:pPr>
      <w:keepLines/>
      <w:spacing w:before="240" w:after="120"/>
      <w:outlineLvl w:val="1"/>
    </w:pPr>
    <w:rPr>
      <w:sz w:val="28"/>
      <w:szCs w:val="40"/>
    </w:rPr>
  </w:style>
  <w:style w:type="paragraph" w:styleId="Heading3">
    <w:name w:val="heading 3"/>
    <w:basedOn w:val="HeadingBase"/>
    <w:next w:val="BodyText"/>
    <w:link w:val="Heading3Char"/>
    <w:qFormat/>
    <w:rsid w:val="00B55C1B"/>
    <w:pPr>
      <w:spacing w:before="180" w:after="120"/>
      <w:outlineLvl w:val="2"/>
    </w:pPr>
    <w:rPr>
      <w:spacing w:val="-10"/>
      <w:kern w:val="32"/>
    </w:rPr>
  </w:style>
  <w:style w:type="paragraph" w:styleId="Heading4">
    <w:name w:val="heading 4"/>
    <w:basedOn w:val="HeadingBase"/>
    <w:next w:val="BodyText"/>
    <w:link w:val="Heading4Char"/>
    <w:qFormat/>
    <w:rsid w:val="00B55C1B"/>
    <w:pPr>
      <w:spacing w:before="160" w:after="120"/>
      <w:outlineLvl w:val="3"/>
    </w:pPr>
    <w:rPr>
      <w:sz w:val="22"/>
    </w:rPr>
  </w:style>
  <w:style w:type="paragraph" w:styleId="Heading5">
    <w:name w:val="heading 5"/>
    <w:basedOn w:val="HeadingBase"/>
    <w:next w:val="Normal"/>
    <w:link w:val="Heading5Char"/>
    <w:qFormat/>
    <w:rsid w:val="00B55C1B"/>
    <w:pPr>
      <w:spacing w:before="80"/>
      <w:outlineLvl w:val="4"/>
    </w:pPr>
    <w:rPr>
      <w:color w:val="918585"/>
      <w:sz w:val="20"/>
    </w:rPr>
  </w:style>
  <w:style w:type="paragraph" w:styleId="Heading6">
    <w:name w:val="heading 6"/>
    <w:basedOn w:val="HeadingBase"/>
    <w:next w:val="Normal"/>
    <w:link w:val="Heading6Char"/>
    <w:qFormat/>
    <w:rsid w:val="00B55C1B"/>
    <w:pPr>
      <w:spacing w:before="60"/>
      <w:outlineLvl w:val="5"/>
    </w:pPr>
    <w:rPr>
      <w:color w:val="918585"/>
      <w:sz w:val="20"/>
    </w:rPr>
  </w:style>
  <w:style w:type="paragraph" w:styleId="Heading7">
    <w:name w:val="heading 7"/>
    <w:basedOn w:val="Normal"/>
    <w:next w:val="Normal"/>
    <w:link w:val="Heading7Char"/>
    <w:qFormat/>
    <w:rsid w:val="00B55C1B"/>
    <w:pPr>
      <w:ind w:left="720"/>
      <w:outlineLvl w:val="6"/>
    </w:pPr>
    <w:rPr>
      <w:i/>
    </w:rPr>
  </w:style>
  <w:style w:type="paragraph" w:styleId="Heading8">
    <w:name w:val="heading 8"/>
    <w:basedOn w:val="Normal"/>
    <w:next w:val="Normal"/>
    <w:link w:val="Heading8Char"/>
    <w:qFormat/>
    <w:rsid w:val="00B55C1B"/>
    <w:pPr>
      <w:ind w:left="720"/>
      <w:outlineLvl w:val="7"/>
    </w:pPr>
    <w:rPr>
      <w:i/>
    </w:rPr>
  </w:style>
  <w:style w:type="paragraph" w:styleId="Heading9">
    <w:name w:val="heading 9"/>
    <w:basedOn w:val="Normal"/>
    <w:next w:val="Normal"/>
    <w:link w:val="Heading9Char"/>
    <w:qFormat/>
    <w:rsid w:val="00B55C1B"/>
    <w:pPr>
      <w:ind w:left="720"/>
      <w:outlineLvl w:val="8"/>
    </w:pPr>
    <w:rPr>
      <w:i/>
    </w:rPr>
  </w:style>
  <w:style w:type="character" w:default="1" w:styleId="DefaultParagraphFont">
    <w:name w:val="Default Paragraph Font"/>
    <w:uiPriority w:val="1"/>
    <w:unhideWhenUsed/>
    <w:rsid w:val="00B55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C1B"/>
  </w:style>
  <w:style w:type="character" w:customStyle="1" w:styleId="Heading1Char">
    <w:name w:val="Heading 1 Char"/>
    <w:basedOn w:val="DefaultParagraphFont"/>
    <w:link w:val="Heading1"/>
    <w:rsid w:val="00B55C1B"/>
    <w:rPr>
      <w:rFonts w:ascii="Times New Roman" w:eastAsia="Times New Roman" w:hAnsi="Times New Roman" w:cs="Times New Roman"/>
      <w:b/>
      <w:sz w:val="32"/>
      <w:szCs w:val="20"/>
      <w:lang w:eastAsia="en-US"/>
    </w:rPr>
  </w:style>
  <w:style w:type="paragraph" w:styleId="BodyText">
    <w:name w:val="Body Text"/>
    <w:basedOn w:val="Normal"/>
    <w:link w:val="BodyTextChar"/>
    <w:rsid w:val="00B55C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C1B"/>
    <w:rPr>
      <w:rFonts w:ascii="Times New Roman" w:eastAsia="Times New Roman" w:hAnsi="Times New Roman" w:cs="Times New Roman"/>
      <w:sz w:val="24"/>
      <w:lang w:eastAsia="en-US"/>
    </w:rPr>
  </w:style>
  <w:style w:type="paragraph" w:styleId="ListBullet">
    <w:name w:val="List Bullet"/>
    <w:basedOn w:val="List"/>
    <w:rsid w:val="00B55C1B"/>
    <w:pPr>
      <w:numPr>
        <w:numId w:val="12"/>
      </w:numPr>
      <w:tabs>
        <w:tab w:val="clear" w:pos="340"/>
      </w:tabs>
      <w:spacing w:before="40" w:after="40"/>
    </w:pPr>
  </w:style>
  <w:style w:type="character" w:customStyle="1" w:styleId="SpecialBold">
    <w:name w:val="Special Bold"/>
    <w:basedOn w:val="DefaultParagraphFont"/>
    <w:rsid w:val="00B55C1B"/>
    <w:rPr>
      <w:b/>
      <w:spacing w:val="0"/>
    </w:rPr>
  </w:style>
  <w:style w:type="paragraph" w:styleId="ListBullet2">
    <w:name w:val="List Bullet 2"/>
    <w:basedOn w:val="List2"/>
    <w:rsid w:val="00B55C1B"/>
    <w:pPr>
      <w:numPr>
        <w:numId w:val="13"/>
      </w:numPr>
      <w:tabs>
        <w:tab w:val="clear" w:pos="680"/>
      </w:tabs>
    </w:pPr>
  </w:style>
  <w:style w:type="paragraph" w:customStyle="1" w:styleId="SuperHeading">
    <w:name w:val="SuperHeading"/>
    <w:basedOn w:val="Normal"/>
    <w:rsid w:val="00B55C1B"/>
    <w:pPr>
      <w:spacing w:before="240" w:after="120"/>
      <w:outlineLvl w:val="0"/>
    </w:pPr>
    <w:rPr>
      <w:rFonts w:ascii="Times New Roman" w:hAnsi="Times New Roman"/>
      <w:b/>
      <w:sz w:val="32"/>
    </w:rPr>
  </w:style>
  <w:style w:type="paragraph" w:customStyle="1" w:styleId="AllowPageBreak">
    <w:name w:val="AllowPageBreak"/>
    <w:rsid w:val="00B55C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5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C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C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C1B"/>
    <w:rPr>
      <w:rFonts w:ascii="Courier New" w:eastAsia="Times New Roman" w:hAnsi="Courier New" w:cs="Times New Roman"/>
      <w:i/>
      <w:szCs w:val="20"/>
      <w:lang w:eastAsia="en-US"/>
    </w:rPr>
  </w:style>
  <w:style w:type="paragraph" w:customStyle="1" w:styleId="HeadingBase">
    <w:name w:val="Heading Base"/>
    <w:rsid w:val="00B55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C1B"/>
    <w:pPr>
      <w:tabs>
        <w:tab w:val="right" w:leader="dot" w:pos="9072"/>
      </w:tabs>
      <w:ind w:left="567"/>
    </w:pPr>
    <w:rPr>
      <w:szCs w:val="22"/>
    </w:rPr>
  </w:style>
  <w:style w:type="paragraph" w:customStyle="1" w:styleId="TOCBase">
    <w:name w:val="TOC Base"/>
    <w:rsid w:val="00B55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C1B"/>
    <w:pPr>
      <w:tabs>
        <w:tab w:val="right" w:leader="dot" w:pos="9072"/>
      </w:tabs>
      <w:spacing w:before="40" w:after="40"/>
      <w:ind w:left="284"/>
    </w:pPr>
    <w:rPr>
      <w:rFonts w:ascii="Times New Roman" w:hAnsi="Times New Roman"/>
    </w:rPr>
  </w:style>
  <w:style w:type="paragraph" w:styleId="TOC1">
    <w:name w:val="toc 1"/>
    <w:basedOn w:val="TOCBase"/>
    <w:next w:val="Normal"/>
    <w:rsid w:val="00B55C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C1B"/>
    <w:rPr>
      <w:rFonts w:ascii="Times New Roman" w:eastAsia="Times New Roman" w:hAnsi="Times New Roman" w:cs="Times New Roman"/>
      <w:sz w:val="16"/>
      <w:lang w:eastAsia="en-US"/>
    </w:rPr>
  </w:style>
  <w:style w:type="paragraph" w:styleId="Title">
    <w:name w:val="Title"/>
    <w:basedOn w:val="HeadingBase"/>
    <w:link w:val="TitleChar"/>
    <w:qFormat/>
    <w:rsid w:val="00B55C1B"/>
    <w:pPr>
      <w:spacing w:before="5040"/>
      <w:jc w:val="center"/>
    </w:pPr>
    <w:rPr>
      <w:sz w:val="48"/>
      <w:szCs w:val="72"/>
      <w:lang w:val="en-US"/>
    </w:rPr>
  </w:style>
  <w:style w:type="character" w:customStyle="1" w:styleId="TitleChar">
    <w:name w:val="Title Char"/>
    <w:basedOn w:val="DefaultParagraphFont"/>
    <w:link w:val="Title"/>
    <w:rsid w:val="00B55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C1B"/>
    <w:pPr>
      <w:tabs>
        <w:tab w:val="left" w:pos="3600"/>
        <w:tab w:val="left" w:pos="3958"/>
      </w:tabs>
    </w:pPr>
  </w:style>
  <w:style w:type="paragraph" w:styleId="List">
    <w:name w:val="List"/>
    <w:basedOn w:val="BodyText"/>
    <w:next w:val="BodyText"/>
    <w:rsid w:val="00B55C1B"/>
    <w:pPr>
      <w:tabs>
        <w:tab w:val="left" w:pos="340"/>
      </w:tabs>
      <w:spacing w:before="60" w:after="60"/>
      <w:ind w:left="340" w:hanging="340"/>
    </w:pPr>
  </w:style>
  <w:style w:type="paragraph" w:customStyle="1" w:styleId="Note">
    <w:name w:val="Note"/>
    <w:basedOn w:val="BodyText"/>
    <w:rsid w:val="00B55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C1B"/>
    <w:pPr>
      <w:framePr w:wrap="auto" w:hAnchor="text" w:y="6049"/>
    </w:pPr>
    <w:rPr>
      <w:color w:val="000000"/>
      <w:sz w:val="40"/>
    </w:rPr>
  </w:style>
  <w:style w:type="paragraph" w:customStyle="1" w:styleId="TOCTitle">
    <w:name w:val="TOCTitle"/>
    <w:basedOn w:val="Heading1"/>
    <w:rsid w:val="00B55C1B"/>
    <w:pPr>
      <w:spacing w:after="240"/>
      <w:jc w:val="center"/>
      <w:outlineLvl w:val="9"/>
    </w:pPr>
    <w:rPr>
      <w:caps/>
    </w:rPr>
  </w:style>
  <w:style w:type="paragraph" w:customStyle="1" w:styleId="Version">
    <w:name w:val="Version"/>
    <w:rsid w:val="00B55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C1B"/>
    <w:pPr>
      <w:keepNext w:val="0"/>
      <w:tabs>
        <w:tab w:val="right" w:pos="4176"/>
      </w:tabs>
      <w:ind w:left="198" w:hanging="198"/>
    </w:pPr>
    <w:rPr>
      <w:rFonts w:ascii="Garamond" w:hAnsi="Garamond"/>
    </w:rPr>
  </w:style>
  <w:style w:type="paragraph" w:styleId="IndexHeading">
    <w:name w:val="index heading"/>
    <w:basedOn w:val="Normal"/>
    <w:next w:val="Index1"/>
    <w:semiHidden/>
    <w:rsid w:val="00B55C1B"/>
    <w:pPr>
      <w:spacing w:before="120" w:after="120"/>
    </w:pPr>
    <w:rPr>
      <w:rFonts w:ascii="Arial" w:hAnsi="Arial"/>
      <w:b/>
      <w:color w:val="918585"/>
      <w:sz w:val="24"/>
    </w:rPr>
  </w:style>
  <w:style w:type="paragraph" w:styleId="Header">
    <w:name w:val="header"/>
    <w:basedOn w:val="Normal"/>
    <w:link w:val="HeaderChar"/>
    <w:rsid w:val="00B55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C1B"/>
    <w:rPr>
      <w:rFonts w:ascii="Times New Roman" w:eastAsia="Times New Roman" w:hAnsi="Times New Roman" w:cs="Times New Roman"/>
      <w:sz w:val="16"/>
      <w:szCs w:val="20"/>
      <w:lang w:val="en-GB" w:eastAsia="en-US"/>
    </w:rPr>
  </w:style>
  <w:style w:type="paragraph" w:customStyle="1" w:styleId="Chapter">
    <w:name w:val="Chapter"/>
    <w:basedOn w:val="Normal"/>
    <w:rsid w:val="00B55C1B"/>
    <w:pPr>
      <w:spacing w:before="240"/>
    </w:pPr>
    <w:rPr>
      <w:rFonts w:ascii="Times New Roman" w:hAnsi="Times New Roman"/>
      <w:smallCaps/>
      <w:spacing w:val="80"/>
      <w:sz w:val="28"/>
    </w:rPr>
  </w:style>
  <w:style w:type="paragraph" w:customStyle="1" w:styleId="InChapter">
    <w:name w:val="InChapter"/>
    <w:basedOn w:val="Heading3"/>
    <w:rsid w:val="00B55C1B"/>
    <w:pPr>
      <w:spacing w:after="240"/>
      <w:outlineLvl w:val="9"/>
    </w:pPr>
    <w:rPr>
      <w:noProof/>
    </w:rPr>
  </w:style>
  <w:style w:type="paragraph" w:styleId="Index2">
    <w:name w:val="index 2"/>
    <w:basedOn w:val="Normal"/>
    <w:next w:val="Normal"/>
    <w:semiHidden/>
    <w:rsid w:val="00B55C1B"/>
    <w:pPr>
      <w:tabs>
        <w:tab w:val="right" w:pos="4176"/>
      </w:tabs>
      <w:ind w:left="568" w:hanging="284"/>
    </w:pPr>
    <w:rPr>
      <w:rFonts w:ascii="Garamond" w:hAnsi="Garamond"/>
    </w:rPr>
  </w:style>
  <w:style w:type="paragraph" w:customStyle="1" w:styleId="Byline">
    <w:name w:val="Byline"/>
    <w:rsid w:val="00B55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C1B"/>
    <w:pPr>
      <w:tabs>
        <w:tab w:val="clear" w:pos="3600"/>
        <w:tab w:val="clear" w:pos="3958"/>
      </w:tabs>
      <w:jc w:val="right"/>
    </w:pPr>
  </w:style>
  <w:style w:type="character" w:styleId="Emphasis">
    <w:name w:val="Emphasis"/>
    <w:basedOn w:val="DefaultParagraphFont"/>
    <w:qFormat/>
    <w:rsid w:val="00B55C1B"/>
    <w:rPr>
      <w:i/>
    </w:rPr>
  </w:style>
  <w:style w:type="paragraph" w:styleId="Caption">
    <w:name w:val="caption"/>
    <w:basedOn w:val="BodyText"/>
    <w:next w:val="Normal"/>
    <w:qFormat/>
    <w:rsid w:val="00B55C1B"/>
    <w:pPr>
      <w:framePr w:w="2268" w:hSpace="181" w:vSpace="181" w:wrap="around" w:vAnchor="text" w:hAnchor="page" w:x="1135" w:y="285" w:anchorLock="1"/>
    </w:pPr>
    <w:rPr>
      <w:i/>
    </w:rPr>
  </w:style>
  <w:style w:type="paragraph" w:customStyle="1" w:styleId="MiniTOCTitle">
    <w:name w:val="MiniTOCTitle"/>
    <w:basedOn w:val="Heading4"/>
    <w:rsid w:val="00B55C1B"/>
    <w:pPr>
      <w:spacing w:before="240"/>
      <w:outlineLvl w:val="9"/>
    </w:pPr>
    <w:rPr>
      <w:noProof/>
      <w:sz w:val="24"/>
    </w:rPr>
  </w:style>
  <w:style w:type="paragraph" w:customStyle="1" w:styleId="MiniTOCItem">
    <w:name w:val="MiniTOCItem"/>
    <w:basedOn w:val="ListBullet"/>
    <w:rsid w:val="00B55C1B"/>
    <w:pPr>
      <w:numPr>
        <w:numId w:val="0"/>
      </w:numPr>
      <w:tabs>
        <w:tab w:val="right" w:leader="dot" w:pos="6521"/>
      </w:tabs>
      <w:spacing w:before="0" w:after="0"/>
    </w:pPr>
  </w:style>
  <w:style w:type="paragraph" w:customStyle="1" w:styleId="TOFTitle">
    <w:name w:val="TOFTitle"/>
    <w:basedOn w:val="TOCTitle"/>
    <w:rsid w:val="00B55C1B"/>
  </w:style>
  <w:style w:type="paragraph" w:styleId="TableofFigures">
    <w:name w:val="table of figures"/>
    <w:basedOn w:val="Normal"/>
    <w:next w:val="Normal"/>
    <w:semiHidden/>
    <w:rsid w:val="00B55C1B"/>
    <w:pPr>
      <w:tabs>
        <w:tab w:val="right" w:leader="dot" w:pos="9072"/>
      </w:tabs>
      <w:ind w:left="970" w:hanging="403"/>
    </w:pPr>
    <w:rPr>
      <w:rFonts w:ascii="Times New Roman" w:hAnsi="Times New Roman"/>
      <w:b/>
    </w:rPr>
  </w:style>
  <w:style w:type="paragraph" w:styleId="ListNumber">
    <w:name w:val="List Number"/>
    <w:basedOn w:val="List"/>
    <w:rsid w:val="00B55C1B"/>
    <w:pPr>
      <w:numPr>
        <w:numId w:val="15"/>
      </w:numPr>
      <w:tabs>
        <w:tab w:val="clear" w:pos="340"/>
      </w:tabs>
    </w:pPr>
  </w:style>
  <w:style w:type="character" w:customStyle="1" w:styleId="WingdingSymbols">
    <w:name w:val="Wingding Symbols"/>
    <w:rsid w:val="00B55C1B"/>
    <w:rPr>
      <w:rFonts w:ascii="Wingdings" w:hAnsi="Wingdings"/>
    </w:rPr>
  </w:style>
  <w:style w:type="paragraph" w:customStyle="1" w:styleId="TableHeading">
    <w:name w:val="Table Heading"/>
    <w:basedOn w:val="HeadingBase"/>
    <w:rsid w:val="00B55C1B"/>
    <w:pPr>
      <w:keepLines/>
      <w:pBdr>
        <w:bottom w:val="single" w:sz="6" w:space="1" w:color="918585"/>
      </w:pBdr>
      <w:spacing w:before="240"/>
    </w:pPr>
  </w:style>
  <w:style w:type="character" w:customStyle="1" w:styleId="HotSpot">
    <w:name w:val="HotSpot"/>
    <w:rsid w:val="00B55C1B"/>
    <w:rPr>
      <w:color w:val="0033CC"/>
      <w:u w:val="none"/>
    </w:rPr>
  </w:style>
  <w:style w:type="paragraph" w:customStyle="1" w:styleId="BodyTextRight">
    <w:name w:val="Body Text Right"/>
    <w:basedOn w:val="BodyText"/>
    <w:rsid w:val="00B55C1B"/>
    <w:pPr>
      <w:spacing w:before="0" w:after="0"/>
      <w:jc w:val="right"/>
    </w:pPr>
  </w:style>
  <w:style w:type="paragraph" w:styleId="Index3">
    <w:name w:val="index 3"/>
    <w:basedOn w:val="ListNumber2"/>
    <w:next w:val="Normal"/>
    <w:semiHidden/>
    <w:rsid w:val="00B55C1B"/>
    <w:pPr>
      <w:numPr>
        <w:numId w:val="0"/>
      </w:numPr>
      <w:tabs>
        <w:tab w:val="right" w:leader="dot" w:pos="4176"/>
      </w:tabs>
    </w:pPr>
  </w:style>
  <w:style w:type="paragraph" w:styleId="ListNumber2">
    <w:name w:val="List Number 2"/>
    <w:basedOn w:val="List2"/>
    <w:rsid w:val="00B55C1B"/>
    <w:pPr>
      <w:numPr>
        <w:numId w:val="10"/>
      </w:numPr>
      <w:tabs>
        <w:tab w:val="clear" w:pos="1060"/>
      </w:tabs>
    </w:pPr>
  </w:style>
  <w:style w:type="paragraph" w:customStyle="1" w:styleId="MarginNote">
    <w:name w:val="Margin Note"/>
    <w:basedOn w:val="BodyText"/>
    <w:rsid w:val="00B55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C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C1B"/>
    <w:rPr>
      <w:sz w:val="32"/>
    </w:rPr>
  </w:style>
  <w:style w:type="paragraph" w:customStyle="1" w:styleId="HeadingProcedure">
    <w:name w:val="Heading Procedure"/>
    <w:basedOn w:val="HeadingBase"/>
    <w:next w:val="Normal"/>
    <w:rsid w:val="00B55C1B"/>
    <w:pPr>
      <w:tabs>
        <w:tab w:val="left" w:pos="0"/>
      </w:tabs>
      <w:spacing w:before="120" w:after="60"/>
    </w:pPr>
    <w:rPr>
      <w:i/>
      <w:color w:val="918585"/>
      <w:sz w:val="22"/>
    </w:rPr>
  </w:style>
  <w:style w:type="paragraph" w:customStyle="1" w:styleId="TableBodyText">
    <w:name w:val="Table Body Text"/>
    <w:basedOn w:val="BodyText"/>
    <w:rsid w:val="00B55C1B"/>
    <w:pPr>
      <w:spacing w:before="60" w:after="60"/>
    </w:pPr>
  </w:style>
  <w:style w:type="paragraph" w:styleId="ListContinue">
    <w:name w:val="List Continue"/>
    <w:basedOn w:val="List"/>
    <w:rsid w:val="00B55C1B"/>
    <w:pPr>
      <w:ind w:firstLine="0"/>
    </w:pPr>
  </w:style>
  <w:style w:type="paragraph" w:customStyle="1" w:styleId="ListNote">
    <w:name w:val="List Note"/>
    <w:basedOn w:val="List"/>
    <w:rsid w:val="00B55C1B"/>
    <w:pPr>
      <w:pBdr>
        <w:top w:val="single" w:sz="6" w:space="2" w:color="918585"/>
        <w:bottom w:val="single" w:sz="6" w:space="2" w:color="918585"/>
      </w:pBdr>
      <w:tabs>
        <w:tab w:val="left" w:pos="1021"/>
      </w:tabs>
      <w:ind w:firstLine="0"/>
    </w:pPr>
  </w:style>
  <w:style w:type="paragraph" w:customStyle="1" w:styleId="Warning">
    <w:name w:val="Warning"/>
    <w:basedOn w:val="BodyText"/>
    <w:rsid w:val="00B55C1B"/>
    <w:pPr>
      <w:shd w:val="clear" w:color="auto" w:fill="D9D9D9"/>
      <w:tabs>
        <w:tab w:val="left" w:pos="992"/>
      </w:tabs>
      <w:ind w:left="119" w:right="119"/>
    </w:pPr>
    <w:rPr>
      <w:sz w:val="20"/>
    </w:rPr>
  </w:style>
  <w:style w:type="paragraph" w:customStyle="1" w:styleId="MarginIcons">
    <w:name w:val="Margin Icons"/>
    <w:basedOn w:val="BodyText"/>
    <w:rsid w:val="00B55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C1B"/>
    <w:rPr>
      <w:rFonts w:ascii="Courier New" w:hAnsi="Courier New"/>
    </w:rPr>
  </w:style>
  <w:style w:type="paragraph" w:customStyle="1" w:styleId="NoteBullet">
    <w:name w:val="Note Bullet"/>
    <w:basedOn w:val="Note"/>
    <w:rsid w:val="00B55C1B"/>
    <w:pPr>
      <w:tabs>
        <w:tab w:val="clear" w:pos="680"/>
      </w:tabs>
      <w:spacing w:before="60" w:after="60"/>
    </w:pPr>
  </w:style>
  <w:style w:type="paragraph" w:customStyle="1" w:styleId="SubHeading2">
    <w:name w:val="SubHeading2"/>
    <w:basedOn w:val="HeadingBase"/>
    <w:rsid w:val="00B55C1B"/>
    <w:pPr>
      <w:spacing w:before="240" w:after="60"/>
    </w:pPr>
    <w:rPr>
      <w:sz w:val="20"/>
    </w:rPr>
  </w:style>
  <w:style w:type="paragraph" w:customStyle="1" w:styleId="SubHeading1">
    <w:name w:val="SubHeading1"/>
    <w:basedOn w:val="HeadingBase"/>
    <w:rsid w:val="00B55C1B"/>
    <w:pPr>
      <w:spacing w:before="240" w:after="60"/>
    </w:pPr>
    <w:rPr>
      <w:color w:val="918585"/>
      <w:sz w:val="22"/>
    </w:rPr>
  </w:style>
  <w:style w:type="paragraph" w:customStyle="1" w:styleId="SideHeading">
    <w:name w:val="Side Heading"/>
    <w:basedOn w:val="HeadingBase"/>
    <w:rsid w:val="00B55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C1B"/>
    <w:pPr>
      <w:tabs>
        <w:tab w:val="num" w:pos="360"/>
      </w:tabs>
    </w:pPr>
  </w:style>
  <w:style w:type="paragraph" w:styleId="PlainText">
    <w:name w:val="Plain Text"/>
    <w:basedOn w:val="Normal"/>
    <w:link w:val="PlainTextChar"/>
    <w:rsid w:val="00B55C1B"/>
    <w:rPr>
      <w:sz w:val="20"/>
    </w:rPr>
  </w:style>
  <w:style w:type="character" w:customStyle="1" w:styleId="PlainTextChar">
    <w:name w:val="Plain Text Char"/>
    <w:basedOn w:val="DefaultParagraphFont"/>
    <w:link w:val="PlainText"/>
    <w:rsid w:val="00B55C1B"/>
    <w:rPr>
      <w:rFonts w:ascii="Courier New" w:eastAsia="Times New Roman" w:hAnsi="Courier New" w:cs="Times New Roman"/>
      <w:sz w:val="20"/>
      <w:szCs w:val="20"/>
      <w:lang w:eastAsia="en-US"/>
    </w:rPr>
  </w:style>
  <w:style w:type="character" w:customStyle="1" w:styleId="MenuOption">
    <w:name w:val="Menu Option"/>
    <w:basedOn w:val="DefaultParagraphFont"/>
    <w:rsid w:val="00B55C1B"/>
    <w:rPr>
      <w:b/>
      <w:smallCaps/>
    </w:rPr>
  </w:style>
  <w:style w:type="paragraph" w:customStyle="1" w:styleId="TableListNumber">
    <w:name w:val="Table List Number"/>
    <w:basedOn w:val="ListNumber"/>
    <w:rsid w:val="00B55C1B"/>
    <w:pPr>
      <w:numPr>
        <w:numId w:val="0"/>
      </w:numPr>
    </w:pPr>
  </w:style>
  <w:style w:type="paragraph" w:styleId="TOC4">
    <w:name w:val="toc 4"/>
    <w:basedOn w:val="TOCBase"/>
    <w:next w:val="Normal"/>
    <w:semiHidden/>
    <w:rsid w:val="00B55C1B"/>
    <w:pPr>
      <w:tabs>
        <w:tab w:val="right" w:leader="dot" w:pos="9071"/>
      </w:tabs>
      <w:ind w:left="1701"/>
    </w:pPr>
  </w:style>
  <w:style w:type="paragraph" w:customStyle="1" w:styleId="ListAlpha">
    <w:name w:val="List Alpha"/>
    <w:basedOn w:val="List"/>
    <w:rsid w:val="00B55C1B"/>
    <w:pPr>
      <w:numPr>
        <w:numId w:val="9"/>
      </w:numPr>
    </w:pPr>
  </w:style>
  <w:style w:type="paragraph" w:customStyle="1" w:styleId="ListAlpha2">
    <w:name w:val="List Alpha 2"/>
    <w:basedOn w:val="List2"/>
    <w:rsid w:val="00B55C1B"/>
    <w:pPr>
      <w:numPr>
        <w:numId w:val="8"/>
      </w:numPr>
    </w:pPr>
  </w:style>
  <w:style w:type="paragraph" w:styleId="List2">
    <w:name w:val="List 2"/>
    <w:basedOn w:val="BodyText"/>
    <w:rsid w:val="00B55C1B"/>
    <w:pPr>
      <w:tabs>
        <w:tab w:val="left" w:pos="680"/>
      </w:tabs>
      <w:spacing w:before="60" w:after="60"/>
      <w:ind w:left="680" w:hanging="340"/>
    </w:pPr>
  </w:style>
  <w:style w:type="paragraph" w:styleId="List3">
    <w:name w:val="List 3"/>
    <w:basedOn w:val="BodyText"/>
    <w:rsid w:val="00B55C1B"/>
    <w:pPr>
      <w:tabs>
        <w:tab w:val="left" w:pos="1021"/>
      </w:tabs>
      <w:spacing w:before="60" w:after="60"/>
      <w:ind w:left="1020" w:hanging="340"/>
    </w:pPr>
  </w:style>
  <w:style w:type="paragraph" w:styleId="List4">
    <w:name w:val="List 4"/>
    <w:basedOn w:val="BodyText"/>
    <w:rsid w:val="00B55C1B"/>
    <w:pPr>
      <w:tabs>
        <w:tab w:val="left" w:pos="1361"/>
      </w:tabs>
      <w:spacing w:before="60" w:after="60"/>
      <w:ind w:left="1361" w:hanging="340"/>
    </w:pPr>
  </w:style>
  <w:style w:type="paragraph" w:styleId="List5">
    <w:name w:val="List 5"/>
    <w:basedOn w:val="BodyText"/>
    <w:rsid w:val="00B55C1B"/>
    <w:pPr>
      <w:tabs>
        <w:tab w:val="left" w:pos="1701"/>
      </w:tabs>
      <w:spacing w:before="60" w:after="60"/>
      <w:ind w:left="1701" w:hanging="340"/>
    </w:pPr>
  </w:style>
  <w:style w:type="paragraph" w:styleId="ListBullet3">
    <w:name w:val="List Bullet 3"/>
    <w:basedOn w:val="List3"/>
    <w:rsid w:val="00B55C1B"/>
    <w:pPr>
      <w:numPr>
        <w:numId w:val="14"/>
      </w:numPr>
      <w:tabs>
        <w:tab w:val="clear" w:pos="1021"/>
      </w:tabs>
      <w:ind w:left="1037" w:hanging="357"/>
    </w:pPr>
  </w:style>
  <w:style w:type="paragraph" w:styleId="ListBullet4">
    <w:name w:val="List Bullet 4"/>
    <w:basedOn w:val="List4"/>
    <w:rsid w:val="00B55C1B"/>
    <w:pPr>
      <w:numPr>
        <w:numId w:val="3"/>
      </w:numPr>
      <w:tabs>
        <w:tab w:val="clear" w:pos="1361"/>
      </w:tabs>
    </w:pPr>
  </w:style>
  <w:style w:type="paragraph" w:styleId="ListBullet5">
    <w:name w:val="List Bullet 5"/>
    <w:basedOn w:val="List5"/>
    <w:rsid w:val="00B55C1B"/>
    <w:pPr>
      <w:numPr>
        <w:numId w:val="4"/>
      </w:numPr>
    </w:pPr>
  </w:style>
  <w:style w:type="paragraph" w:styleId="ListContinue2">
    <w:name w:val="List Continue 2"/>
    <w:basedOn w:val="List2"/>
    <w:rsid w:val="00B55C1B"/>
    <w:pPr>
      <w:ind w:firstLine="0"/>
    </w:pPr>
  </w:style>
  <w:style w:type="paragraph" w:styleId="ListContinue3">
    <w:name w:val="List Continue 3"/>
    <w:basedOn w:val="List3"/>
    <w:rsid w:val="00B55C1B"/>
    <w:pPr>
      <w:ind w:left="1021" w:firstLine="0"/>
    </w:pPr>
  </w:style>
  <w:style w:type="paragraph" w:styleId="ListContinue4">
    <w:name w:val="List Continue 4"/>
    <w:basedOn w:val="List4"/>
    <w:rsid w:val="00B55C1B"/>
    <w:pPr>
      <w:ind w:firstLine="0"/>
    </w:pPr>
  </w:style>
  <w:style w:type="paragraph" w:styleId="ListContinue5">
    <w:name w:val="List Continue 5"/>
    <w:basedOn w:val="List5"/>
    <w:rsid w:val="00B55C1B"/>
    <w:pPr>
      <w:ind w:firstLine="0"/>
    </w:pPr>
  </w:style>
  <w:style w:type="paragraph" w:styleId="ListNumber3">
    <w:name w:val="List Number 3"/>
    <w:basedOn w:val="List3"/>
    <w:rsid w:val="00B55C1B"/>
    <w:pPr>
      <w:numPr>
        <w:numId w:val="5"/>
      </w:numPr>
    </w:pPr>
  </w:style>
  <w:style w:type="paragraph" w:styleId="ListNumber4">
    <w:name w:val="List Number 4"/>
    <w:basedOn w:val="List4"/>
    <w:rsid w:val="00B55C1B"/>
    <w:pPr>
      <w:numPr>
        <w:numId w:val="6"/>
      </w:numPr>
    </w:pPr>
  </w:style>
  <w:style w:type="paragraph" w:styleId="ListNumber5">
    <w:name w:val="List Number 5"/>
    <w:basedOn w:val="List5"/>
    <w:rsid w:val="00B55C1B"/>
    <w:pPr>
      <w:numPr>
        <w:numId w:val="7"/>
      </w:numPr>
    </w:pPr>
  </w:style>
  <w:style w:type="paragraph" w:styleId="BlockText">
    <w:name w:val="Block Text"/>
    <w:basedOn w:val="Normal"/>
    <w:rsid w:val="00B55C1B"/>
    <w:pPr>
      <w:spacing w:after="120"/>
      <w:ind w:left="1440" w:right="1440"/>
    </w:pPr>
  </w:style>
  <w:style w:type="character" w:customStyle="1" w:styleId="Subscript">
    <w:name w:val="Subscript"/>
    <w:basedOn w:val="DefaultParagraphFont"/>
    <w:rsid w:val="00B55C1B"/>
    <w:rPr>
      <w:sz w:val="16"/>
      <w:vertAlign w:val="subscript"/>
    </w:rPr>
  </w:style>
  <w:style w:type="character" w:customStyle="1" w:styleId="Superscript">
    <w:name w:val="Superscript"/>
    <w:basedOn w:val="DefaultParagraphFont"/>
    <w:rsid w:val="00B55C1B"/>
    <w:rPr>
      <w:sz w:val="16"/>
      <w:vertAlign w:val="superscript"/>
    </w:rPr>
  </w:style>
  <w:style w:type="character" w:customStyle="1" w:styleId="Symbols">
    <w:name w:val="Symbols"/>
    <w:basedOn w:val="DefaultParagraphFont"/>
    <w:rsid w:val="00B55C1B"/>
    <w:rPr>
      <w:rFonts w:ascii="Symbol" w:hAnsi="Symbol"/>
    </w:rPr>
  </w:style>
  <w:style w:type="character" w:customStyle="1" w:styleId="MenuOptions">
    <w:name w:val="Menu Options"/>
    <w:basedOn w:val="DefaultParagraphFont"/>
    <w:rsid w:val="00B55C1B"/>
    <w:rPr>
      <w:rFonts w:ascii="Arial Narrow" w:hAnsi="Arial Narrow"/>
      <w:smallCaps/>
    </w:rPr>
  </w:style>
  <w:style w:type="character" w:customStyle="1" w:styleId="Buttons">
    <w:name w:val="Buttons"/>
    <w:basedOn w:val="DefaultParagraphFont"/>
    <w:rsid w:val="00B55C1B"/>
    <w:rPr>
      <w:b/>
    </w:rPr>
  </w:style>
  <w:style w:type="character" w:customStyle="1" w:styleId="Underlined">
    <w:name w:val="Underlined"/>
    <w:basedOn w:val="DefaultParagraphFont"/>
    <w:rsid w:val="00B55C1B"/>
    <w:rPr>
      <w:u w:val="single"/>
    </w:rPr>
  </w:style>
  <w:style w:type="paragraph" w:customStyle="1" w:styleId="TableBodyTextRight">
    <w:name w:val="Table Body Text Right"/>
    <w:basedOn w:val="TableBodyText"/>
    <w:rsid w:val="00B55C1B"/>
    <w:pPr>
      <w:widowControl w:val="0"/>
      <w:autoSpaceDE w:val="0"/>
      <w:autoSpaceDN w:val="0"/>
      <w:adjustRightInd w:val="0"/>
      <w:jc w:val="right"/>
    </w:pPr>
    <w:rPr>
      <w:rFonts w:cs="Arial"/>
      <w:szCs w:val="18"/>
    </w:rPr>
  </w:style>
  <w:style w:type="paragraph" w:customStyle="1" w:styleId="CopyrightText">
    <w:name w:val="Copyright Text"/>
    <w:basedOn w:val="BodyText"/>
    <w:rsid w:val="00B55C1B"/>
    <w:rPr>
      <w:sz w:val="18"/>
    </w:rPr>
  </w:style>
  <w:style w:type="paragraph" w:customStyle="1" w:styleId="BodySmallRight">
    <w:name w:val="Body Small Right"/>
    <w:basedOn w:val="BodyTextRight"/>
    <w:rsid w:val="00B55C1B"/>
    <w:rPr>
      <w:sz w:val="18"/>
      <w:szCs w:val="18"/>
    </w:rPr>
  </w:style>
  <w:style w:type="paragraph" w:customStyle="1" w:styleId="MarginEdition">
    <w:name w:val="Margin Edition"/>
    <w:basedOn w:val="MarginNote"/>
    <w:rsid w:val="00B55C1B"/>
    <w:pPr>
      <w:spacing w:before="0" w:after="0"/>
    </w:pPr>
    <w:rPr>
      <w:rFonts w:ascii="Times New Roman" w:hAnsi="Times New Roman"/>
      <w:color w:val="999999"/>
    </w:rPr>
  </w:style>
  <w:style w:type="paragraph" w:customStyle="1" w:styleId="Spacer">
    <w:name w:val="Spacer"/>
    <w:basedOn w:val="Normal"/>
    <w:rsid w:val="00B55C1B"/>
    <w:rPr>
      <w:sz w:val="2"/>
      <w:szCs w:val="2"/>
    </w:rPr>
  </w:style>
  <w:style w:type="character" w:customStyle="1" w:styleId="Small">
    <w:name w:val="Small"/>
    <w:basedOn w:val="DefaultParagraphFont"/>
    <w:rsid w:val="00B55C1B"/>
    <w:rPr>
      <w:sz w:val="16"/>
    </w:rPr>
  </w:style>
  <w:style w:type="paragraph" w:customStyle="1" w:styleId="WideTable">
    <w:name w:val="Wide Table"/>
    <w:basedOn w:val="Normal"/>
    <w:rsid w:val="00B55C1B"/>
    <w:pPr>
      <w:ind w:left="-1418"/>
    </w:pPr>
    <w:rPr>
      <w:sz w:val="2"/>
      <w:szCs w:val="2"/>
    </w:rPr>
  </w:style>
  <w:style w:type="character" w:styleId="PageNumber">
    <w:name w:val="page number"/>
    <w:basedOn w:val="DefaultParagraphFont"/>
    <w:rsid w:val="00B55C1B"/>
  </w:style>
  <w:style w:type="paragraph" w:styleId="Quote">
    <w:name w:val="Quote"/>
    <w:basedOn w:val="Heading1"/>
    <w:link w:val="QuoteChar"/>
    <w:qFormat/>
    <w:rsid w:val="00B55C1B"/>
    <w:rPr>
      <w:b w:val="0"/>
      <w:sz w:val="72"/>
      <w:szCs w:val="72"/>
      <w:lang w:val="en-NZ"/>
    </w:rPr>
  </w:style>
  <w:style w:type="character" w:customStyle="1" w:styleId="QuoteChar">
    <w:name w:val="Quote Char"/>
    <w:basedOn w:val="DefaultParagraphFont"/>
    <w:link w:val="Quote"/>
    <w:rsid w:val="00B55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C1B"/>
    <w:pPr>
      <w:pageBreakBefore/>
    </w:pPr>
  </w:style>
  <w:style w:type="paragraph" w:customStyle="1" w:styleId="Border">
    <w:name w:val="Border"/>
    <w:basedOn w:val="Normal"/>
    <w:qFormat/>
    <w:rsid w:val="00B55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C1B"/>
    <w:rPr>
      <w:b/>
      <w:bCs/>
      <w:i/>
      <w:iCs/>
      <w:color w:val="auto"/>
    </w:rPr>
  </w:style>
  <w:style w:type="paragraph" w:styleId="IntenseQuote">
    <w:name w:val="Intense Quote"/>
    <w:basedOn w:val="Normal"/>
    <w:next w:val="Normal"/>
    <w:link w:val="IntenseQuoteChar"/>
    <w:uiPriority w:val="30"/>
    <w:qFormat/>
    <w:rsid w:val="00B55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C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C1B"/>
    <w:rPr>
      <w:smallCaps/>
      <w:color w:val="auto"/>
      <w:u w:val="single"/>
    </w:rPr>
  </w:style>
  <w:style w:type="character" w:styleId="IntenseReference">
    <w:name w:val="Intense Reference"/>
    <w:basedOn w:val="DefaultParagraphFont"/>
    <w:uiPriority w:val="32"/>
    <w:qFormat/>
    <w:rsid w:val="00B55C1B"/>
    <w:rPr>
      <w:b/>
      <w:bCs/>
      <w:smallCaps/>
      <w:color w:val="auto"/>
      <w:spacing w:val="5"/>
      <w:u w:val="single"/>
    </w:rPr>
  </w:style>
  <w:style w:type="paragraph" w:customStyle="1" w:styleId="2ColumnHeading">
    <w:name w:val="2Column Heading"/>
    <w:basedOn w:val="BodyText"/>
    <w:qFormat/>
    <w:rsid w:val="00B55C1B"/>
    <w:pPr>
      <w:spacing w:after="60"/>
      <w:ind w:left="-2268"/>
    </w:pPr>
    <w:rPr>
      <w:b/>
    </w:rPr>
  </w:style>
  <w:style w:type="paragraph" w:customStyle="1" w:styleId="Heading1TOC">
    <w:name w:val="Heading1 TOC"/>
    <w:basedOn w:val="Normal"/>
    <w:qFormat/>
    <w:rsid w:val="00B55C1B"/>
    <w:pPr>
      <w:spacing w:before="240" w:after="120"/>
    </w:pPr>
    <w:rPr>
      <w:rFonts w:ascii="Times New Roman" w:hAnsi="Times New Roman"/>
      <w:b/>
      <w:sz w:val="32"/>
    </w:rPr>
  </w:style>
  <w:style w:type="paragraph" w:customStyle="1" w:styleId="Heading2TOC">
    <w:name w:val="Heading2 TOC"/>
    <w:basedOn w:val="Normal"/>
    <w:qFormat/>
    <w:rsid w:val="00B55C1B"/>
    <w:pPr>
      <w:spacing w:before="240" w:after="60"/>
    </w:pPr>
    <w:rPr>
      <w:rFonts w:ascii="Times New Roman" w:hAnsi="Times New Roman"/>
      <w:b/>
      <w:sz w:val="28"/>
    </w:rPr>
  </w:style>
  <w:style w:type="character" w:customStyle="1" w:styleId="Underline">
    <w:name w:val="Underline"/>
    <w:basedOn w:val="DefaultParagraphFont"/>
    <w:qFormat/>
    <w:rsid w:val="00B55C1B"/>
    <w:rPr>
      <w:u w:val="single"/>
    </w:rPr>
  </w:style>
  <w:style w:type="character" w:customStyle="1" w:styleId="BoldandItalics">
    <w:name w:val="Bold and Italics"/>
    <w:qFormat/>
    <w:rsid w:val="00B55C1B"/>
    <w:rPr>
      <w:b/>
      <w:i/>
      <w:u w:val="none"/>
    </w:rPr>
  </w:style>
  <w:style w:type="paragraph" w:styleId="BalloonText">
    <w:name w:val="Balloon Text"/>
    <w:basedOn w:val="Normal"/>
    <w:link w:val="BalloonTextChar"/>
    <w:rsid w:val="00B55C1B"/>
    <w:rPr>
      <w:rFonts w:ascii="Tahoma" w:hAnsi="Tahoma" w:cs="Tahoma"/>
      <w:sz w:val="16"/>
      <w:szCs w:val="16"/>
    </w:rPr>
  </w:style>
  <w:style w:type="character" w:customStyle="1" w:styleId="BalloonTextChar">
    <w:name w:val="Balloon Text Char"/>
    <w:basedOn w:val="DefaultParagraphFont"/>
    <w:link w:val="BalloonText"/>
    <w:rsid w:val="00B55C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C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C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C1B"/>
    <w:rPr>
      <w:b/>
      <w:color w:val="660033"/>
      <w:spacing w:val="0"/>
    </w:rPr>
  </w:style>
  <w:style w:type="paragraph" w:customStyle="1" w:styleId="Nameditemlist">
    <w:name w:val="Named item list"/>
    <w:basedOn w:val="BodyText"/>
    <w:qFormat/>
    <w:rsid w:val="00B55C1B"/>
    <w:pPr>
      <w:tabs>
        <w:tab w:val="left" w:pos="2835"/>
      </w:tabs>
      <w:ind w:left="2835" w:hanging="2835"/>
    </w:pPr>
  </w:style>
  <w:style w:type="paragraph" w:customStyle="1" w:styleId="BodyTextnopadding">
    <w:name w:val="Body Text no padding"/>
    <w:basedOn w:val="BodyText"/>
    <w:qFormat/>
    <w:rsid w:val="00B55C1B"/>
    <w:pPr>
      <w:spacing w:before="0" w:after="0"/>
    </w:pPr>
  </w:style>
  <w:style w:type="paragraph" w:customStyle="1" w:styleId="BodyTextBold">
    <w:name w:val="Body Text Bold"/>
    <w:basedOn w:val="BodyText"/>
    <w:qFormat/>
    <w:rsid w:val="00B55C1B"/>
    <w:rPr>
      <w:b/>
    </w:rPr>
  </w:style>
  <w:style w:type="character" w:styleId="Hyperlink">
    <w:name w:val="Hyperlink"/>
    <w:basedOn w:val="DefaultParagraphFont"/>
    <w:uiPriority w:val="99"/>
    <w:unhideWhenUsed/>
    <w:rsid w:val="007F4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1895</Words>
  <Characters>12983</Characters>
  <Application>Microsoft Office Word</Application>
  <DocSecurity>0</DocSecurity>
  <Lines>405</Lines>
  <Paragraphs>212</Paragraphs>
  <ScaleCrop>false</ScaleCrop>
  <Company>Author-it Software Corporation Ltd.</Company>
  <LinksUpToDate>false</LinksUpToDate>
  <CharactersWithSpaces>14666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UETDRTS003 Commission energy/revenue metering schemes (complex)</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