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074" w:rsidP="00D650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UETDRTS003 Commission energy/revenue metering schemes (complex)</w:t>
      </w:r>
      <w:r>
        <w:fldChar w:fldCharType="end"/>
      </w:r>
    </w:p>
    <w:p w:rsidR="00D65074" w:rsidP="00D65074">
      <w:pPr>
        <w:pStyle w:val="Version"/>
        <w:sectPr w:rsidSect="00DC3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DAE" w:rsidP="00DC3DAE">
      <w:pPr>
        <w:pStyle w:val="SuperHeading"/>
      </w:pPr>
      <w:r w:rsidRPr="00DC3DAE">
        <w:t>Assessment Requirements for UETDRTS003 Commission energy/revenue metering schemes (complex)</w:t>
      </w:r>
    </w:p>
    <w:p w:rsidR="00000000" w:rsidRPr="00DC3DAE" w:rsidP="00DC3DAE">
      <w:pPr>
        <w:pStyle w:val="Heading1"/>
      </w:pPr>
      <w:bookmarkStart w:id="1" w:name="O_1178721"/>
      <w:bookmarkEnd w:id="1"/>
      <w:r w:rsidRPr="00DC3D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DAE" w:rsidP="00DC3DAE">
            <w:pPr>
              <w:pStyle w:val="BodyText"/>
            </w:pPr>
            <w:r w:rsidRPr="00DC3DA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C3DAE" w:rsidP="00DC3DAE">
      <w:pPr>
        <w:pStyle w:val="NoPaddingFontSize1"/>
      </w:pPr>
    </w:p>
    <w:p w:rsidR="00000000" w:rsidRPr="00DC3DAE" w:rsidP="00DC3DAE">
      <w:pPr>
        <w:pStyle w:val="AllowPageBreak"/>
      </w:pPr>
    </w:p>
    <w:p w:rsidR="00000000" w:rsidRPr="00DC3DAE" w:rsidP="00DC3DAE">
      <w:pPr>
        <w:pStyle w:val="Heading1"/>
      </w:pPr>
      <w:bookmarkStart w:id="2" w:name="O_1178722"/>
      <w:bookmarkEnd w:id="2"/>
      <w:r w:rsidRPr="00DC3D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AE">
            <w:pPr>
              <w:pStyle w:val="BodyText"/>
              <w:rPr>
                <w:lang w:val="en-NZ"/>
              </w:rPr>
            </w:pPr>
            <w:r w:rsidRPr="00DC3DAE">
              <w:t>Evidence required to demonstrate competence in this unit must be r</w:t>
            </w:r>
            <w:r w:rsidRPr="00DC3DAE">
              <w:t xml:space="preserve">elevant to and satisfy all of the requirements of the elements and performance criteria on at least two separate occasions and include:  </w:t>
            </w:r>
          </w:p>
        </w:tc>
      </w:tr>
      <w:tr w:rsidTr="00DC3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DAE" w:rsidP="00DC3DAE">
            <w:pPr>
              <w:pStyle w:val="ListBullet"/>
            </w:pPr>
            <w:r w:rsidRPr="00DC3DAE">
              <w:t xml:space="preserve">applying relevant work health and safety (WHS)/occupational health and safety (OHS) requirements, including the use </w:t>
            </w:r>
            <w:r w:rsidRPr="00DC3DAE">
              <w:t>of risk control measures</w:t>
            </w:r>
          </w:p>
          <w:p w:rsidR="00000000" w:rsidRPr="00DC3DAE" w:rsidP="00DC3DAE">
            <w:pPr>
              <w:pStyle w:val="ListBullet"/>
            </w:pPr>
            <w:r w:rsidRPr="00DC3DAE">
              <w:t>applying sustainable energy principles and practices</w:t>
            </w:r>
          </w:p>
          <w:p w:rsidR="00000000" w:rsidRPr="00DC3DAE" w:rsidP="00DC3DAE">
            <w:pPr>
              <w:pStyle w:val="ListBullet"/>
            </w:pPr>
            <w:r w:rsidRPr="00DC3DAE">
              <w:t>performing, on at least three (3) occasions, the commissioning of at least seven (7) of the following complex metering scheme types:</w:t>
            </w:r>
          </w:p>
          <w:p w:rsidR="00000000" w:rsidRPr="00DC3DAE" w:rsidP="00DC3DAE">
            <w:pPr>
              <w:pStyle w:val="ListBullet2"/>
            </w:pPr>
            <w:r w:rsidRPr="00DC3DAE">
              <w:t>multiple feeder high voltage (HV) and low vo</w:t>
            </w:r>
            <w:r w:rsidRPr="00DC3DAE">
              <w:t>ltage (LV) customers</w:t>
            </w:r>
          </w:p>
          <w:p w:rsidR="00000000" w:rsidRPr="00DC3DAE" w:rsidP="00DC3DAE">
            <w:pPr>
              <w:pStyle w:val="ListBullet2"/>
            </w:pPr>
            <w:r w:rsidRPr="00DC3DAE">
              <w:t>summation</w:t>
            </w:r>
          </w:p>
          <w:p w:rsidR="00000000" w:rsidRPr="00DC3DAE" w:rsidP="00DC3DAE">
            <w:pPr>
              <w:pStyle w:val="ListBullet2"/>
            </w:pPr>
            <w:r w:rsidRPr="00DC3DAE">
              <w:t>subtraction</w:t>
            </w:r>
          </w:p>
          <w:p w:rsidR="00000000" w:rsidRPr="00DC3DAE" w:rsidP="00DC3DAE">
            <w:pPr>
              <w:pStyle w:val="ListBullet2"/>
            </w:pPr>
            <w:r w:rsidRPr="00DC3DAE">
              <w:t>interposing</w:t>
            </w:r>
          </w:p>
          <w:p w:rsidR="00000000" w:rsidRPr="00DC3DAE" w:rsidP="00DC3DAE">
            <w:pPr>
              <w:pStyle w:val="ListBullet2"/>
            </w:pPr>
            <w:r w:rsidRPr="00DC3DAE">
              <w:t>voltage changeover schemes</w:t>
            </w:r>
          </w:p>
          <w:p w:rsidR="00000000" w:rsidRPr="00DC3DAE" w:rsidP="00DC3DAE">
            <w:pPr>
              <w:pStyle w:val="ListBullet2"/>
            </w:pPr>
            <w:r w:rsidRPr="00DC3DAE">
              <w:t>generation</w:t>
            </w:r>
          </w:p>
          <w:p w:rsidR="00000000" w:rsidRPr="00DC3DAE" w:rsidP="00DC3DAE">
            <w:pPr>
              <w:pStyle w:val="ListBullet2"/>
            </w:pPr>
            <w:r w:rsidRPr="00DC3DAE">
              <w:t>zone substation</w:t>
            </w:r>
          </w:p>
          <w:p w:rsidR="00000000" w:rsidRPr="00DC3DAE" w:rsidP="00DC3DAE">
            <w:pPr>
              <w:pStyle w:val="ListBullet2"/>
            </w:pPr>
            <w:r w:rsidRPr="00DC3DAE">
              <w:t>bulk supply</w:t>
            </w:r>
          </w:p>
          <w:p w:rsidR="00000000" w:rsidRPr="00DC3DAE" w:rsidP="00DC3DAE">
            <w:pPr>
              <w:pStyle w:val="ListBullet2"/>
            </w:pPr>
            <w:r w:rsidRPr="00DC3DAE">
              <w:t>interconnector</w:t>
            </w:r>
          </w:p>
          <w:p w:rsidR="00000000" w:rsidRPr="00DC3DAE" w:rsidP="00DC3DAE">
            <w:pPr>
              <w:pStyle w:val="ListBullet2"/>
            </w:pPr>
            <w:r w:rsidRPr="00DC3DAE">
              <w:t>wholesale metering</w:t>
            </w:r>
          </w:p>
          <w:p w:rsidR="00000000" w:rsidRPr="00DC3DAE" w:rsidP="00DC3DAE">
            <w:pPr>
              <w:pStyle w:val="ListBullet"/>
            </w:pPr>
            <w:r w:rsidRPr="00DC3DAE">
              <w:t>performing, on at least three (3) occasions, at least six (6) of the following activities:</w:t>
            </w:r>
          </w:p>
          <w:p w:rsidR="00000000" w:rsidRPr="00DC3DAE" w:rsidP="00DC3DAE">
            <w:pPr>
              <w:pStyle w:val="ListBullet2"/>
            </w:pPr>
            <w:r w:rsidRPr="00DC3DAE">
              <w:t>isolation</w:t>
            </w:r>
          </w:p>
          <w:p w:rsidR="00000000" w:rsidRPr="00DC3DAE" w:rsidP="00DC3DAE">
            <w:pPr>
              <w:pStyle w:val="ListBullet2"/>
            </w:pPr>
            <w:r w:rsidRPr="00DC3DAE">
              <w:t>inspection</w:t>
            </w:r>
          </w:p>
          <w:p w:rsidR="00000000" w:rsidRPr="00DC3DAE" w:rsidP="00DC3DAE">
            <w:pPr>
              <w:pStyle w:val="ListBullet2"/>
            </w:pPr>
            <w:r w:rsidRPr="00DC3DAE">
              <w:t>monitoring</w:t>
            </w:r>
          </w:p>
          <w:p w:rsidR="00000000" w:rsidRPr="00DC3DAE" w:rsidP="00DC3DAE">
            <w:pPr>
              <w:pStyle w:val="ListBullet2"/>
            </w:pPr>
            <w:r w:rsidRPr="00DC3DAE">
              <w:t>testing</w:t>
            </w:r>
          </w:p>
          <w:p w:rsidR="00000000" w:rsidRPr="00DC3DAE" w:rsidP="00DC3DAE">
            <w:pPr>
              <w:pStyle w:val="ListBullet2"/>
            </w:pPr>
            <w:r w:rsidRPr="00DC3DAE">
              <w:t>adjustment</w:t>
            </w:r>
          </w:p>
          <w:p w:rsidR="00000000" w:rsidRPr="00DC3DAE" w:rsidP="00DC3DAE">
            <w:pPr>
              <w:pStyle w:val="ListBullet2"/>
            </w:pPr>
            <w:r w:rsidRPr="00DC3DAE">
              <w:t>repair</w:t>
            </w:r>
          </w:p>
          <w:p w:rsidR="00000000" w:rsidRPr="00DC3DAE" w:rsidP="00DC3DAE">
            <w:pPr>
              <w:pStyle w:val="ListBullet2"/>
            </w:pPr>
            <w:r w:rsidRPr="00DC3DAE">
              <w:t>refurbishment and/or overhaul</w:t>
            </w:r>
          </w:p>
          <w:p w:rsidR="00000000" w:rsidRPr="00DC3DAE" w:rsidP="00DC3DAE">
            <w:pPr>
              <w:pStyle w:val="ListBullet2"/>
            </w:pPr>
            <w:r w:rsidRPr="00DC3DAE">
              <w:t>functional checks of complex revenue metering schemes</w:t>
            </w:r>
          </w:p>
          <w:p w:rsidR="00000000" w:rsidRPr="00DC3DAE" w:rsidP="00DC3DAE">
            <w:pPr>
              <w:pStyle w:val="ListBullet"/>
            </w:pPr>
            <w:r w:rsidRPr="00DC3DAE">
              <w:t>performing, on at least three (3) occasions, all the following activities:</w:t>
            </w:r>
          </w:p>
          <w:p w:rsidR="00000000" w:rsidRPr="00DC3DAE" w:rsidP="00DC3DAE">
            <w:pPr>
              <w:pStyle w:val="ListBullet2"/>
            </w:pPr>
            <w:r w:rsidRPr="00DC3DAE">
              <w:t>ensuring meter function using multiple proprietary software applications</w:t>
            </w:r>
          </w:p>
          <w:p w:rsidR="00000000" w:rsidRPr="00DC3DAE" w:rsidP="00DC3DAE">
            <w:pPr>
              <w:pStyle w:val="ListBullet2"/>
            </w:pPr>
            <w:r w:rsidRPr="00DC3DAE">
              <w:t>determining energy flows, voltage, current and phasor relationships</w:t>
            </w:r>
          </w:p>
          <w:p w:rsidR="00000000" w:rsidRPr="00DC3DAE" w:rsidP="00DC3DAE">
            <w:pPr>
              <w:pStyle w:val="ListBullet2"/>
            </w:pPr>
            <w:r w:rsidRPr="00DC3DAE">
              <w:t>validating against independent information sources and test results to ensure that the installation is operating wi</w:t>
            </w:r>
            <w:r w:rsidRPr="00DC3DAE">
              <w:t>thin prescribed limits (enterprise, manufacturer and regulated energy market requirements)</w:t>
            </w:r>
          </w:p>
          <w:p w:rsidR="00000000" w:rsidRPr="00DC3DAE" w:rsidP="00DC3DAE">
            <w:pPr>
              <w:pStyle w:val="ListBullet2"/>
            </w:pPr>
            <w:r w:rsidRPr="00DC3DAE">
              <w:t>validation of the actual meter energy data against meter data provider remote data streams</w:t>
            </w:r>
          </w:p>
          <w:p w:rsidR="00000000" w:rsidRPr="00DC3DAE" w:rsidP="00DC3DAE">
            <w:pPr>
              <w:pStyle w:val="ListBullet2"/>
            </w:pPr>
            <w:r w:rsidRPr="00DC3DAE">
              <w:t>calculating and recording the overall installation site</w:t>
            </w:r>
          </w:p>
          <w:p w:rsidR="00000000" w:rsidRPr="00DC3DAE" w:rsidP="00DC3DAE">
            <w:pPr>
              <w:pStyle w:val="ListBullet2"/>
            </w:pPr>
            <w:r w:rsidRPr="00DC3DAE">
              <w:t>ensuring complianc</w:t>
            </w:r>
            <w:r w:rsidRPr="00DC3DAE">
              <w:t>e with regulated energy market compliance</w:t>
            </w:r>
          </w:p>
          <w:p w:rsidR="00000000" w:rsidRPr="00DC3DAE" w:rsidP="00DC3DAE">
            <w:pPr>
              <w:pStyle w:val="ListBullet2"/>
            </w:pPr>
            <w:r w:rsidRPr="00DC3DAE">
              <w:t>endorsing the site overall accuracy and installation compliance as the technical representative authorised by the metering provider</w:t>
            </w:r>
          </w:p>
          <w:p w:rsidR="00000000" w:rsidRPr="00DC3DAE" w:rsidP="00DC3DAE">
            <w:pPr>
              <w:pStyle w:val="ListBullet2"/>
            </w:pPr>
            <w:r w:rsidRPr="00DC3DAE">
              <w:t>ensuring all records of the commissioning of energy/revenue metering schemes (comp</w:t>
            </w:r>
            <w:r w:rsidRPr="00DC3DAE">
              <w:t>lex) are complete and forwarded to the appropriate authority in accordance with regulatory requirements</w:t>
            </w:r>
          </w:p>
          <w:p w:rsidR="00000000" w:rsidRPr="00DC3DAE" w:rsidP="00DC3DAE">
            <w:pPr>
              <w:pStyle w:val="ListBullet"/>
            </w:pPr>
            <w:r w:rsidRPr="00DC3DAE">
              <w:t>dealing with unplanned events on at least one (1) occasion.</w:t>
            </w:r>
          </w:p>
        </w:tc>
      </w:tr>
    </w:tbl>
    <w:p w:rsidR="00000000" w:rsidRPr="00DC3DAE" w:rsidP="00DC3DAE">
      <w:pPr>
        <w:pStyle w:val="NoPaddingFontSize1"/>
      </w:pPr>
    </w:p>
    <w:p w:rsidR="00000000" w:rsidRPr="00DC3DAE" w:rsidP="00DC3DAE">
      <w:pPr>
        <w:pStyle w:val="AllowPageBreak"/>
      </w:pPr>
    </w:p>
    <w:p w:rsidR="00000000" w:rsidRPr="00DC3DAE" w:rsidP="00DC3DAE">
      <w:pPr>
        <w:pStyle w:val="Heading1"/>
      </w:pPr>
      <w:bookmarkStart w:id="3" w:name="O_1178724"/>
      <w:bookmarkEnd w:id="3"/>
      <w:r w:rsidRPr="00DC3D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AE">
            <w:pPr>
              <w:pStyle w:val="BodyText"/>
              <w:rPr>
                <w:lang w:val="en-NZ"/>
              </w:rPr>
            </w:pPr>
            <w:r w:rsidRPr="00DC3DA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C3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DAE" w:rsidP="00DC3DAE">
            <w:pPr>
              <w:pStyle w:val="ListBullet"/>
            </w:pPr>
            <w:r w:rsidRPr="00DC3DAE">
              <w:t>additional hardware components which add complexity and the possibility fo</w:t>
            </w:r>
            <w:r w:rsidRPr="00DC3DAE">
              <w:t>r greater uncertainty in overall accuracy</w:t>
            </w:r>
          </w:p>
          <w:p w:rsidR="00000000" w:rsidRPr="00DC3DAE" w:rsidP="00DC3DAE">
            <w:pPr>
              <w:pStyle w:val="ListBullet"/>
            </w:pPr>
            <w:r w:rsidRPr="00DC3DAE">
              <w:t>calculations are more complex and require consideration of multiple sources of errors to accurately determine the overall site errors</w:t>
            </w:r>
          </w:p>
          <w:p w:rsidR="00000000" w:rsidRPr="00DC3DAE" w:rsidP="00DC3DAE">
            <w:pPr>
              <w:pStyle w:val="ListBullet"/>
            </w:pPr>
            <w:r w:rsidRPr="00DC3DAE">
              <w:t>calculation and verification of correct application of transformer losses, trans</w:t>
            </w:r>
            <w:r w:rsidRPr="00DC3DAE">
              <w:t>mission line losses and correction factors in meter programming</w:t>
            </w:r>
          </w:p>
          <w:p w:rsidR="00000000" w:rsidRPr="00DC3DAE" w:rsidP="00DC3DAE">
            <w:pPr>
              <w:pStyle w:val="ListBullet"/>
            </w:pPr>
            <w:r w:rsidRPr="00DC3DAE">
              <w:t>determining the inputs and relationships required of physical metering points to establish and verify logical metering schemes</w:t>
            </w:r>
          </w:p>
          <w:p w:rsidR="00000000" w:rsidRPr="00DC3DAE" w:rsidP="00DC3DAE">
            <w:pPr>
              <w:pStyle w:val="ListBullet"/>
            </w:pPr>
            <w:r w:rsidRPr="00DC3DAE">
              <w:t>consideration to all sources of burden on the metering instrument</w:t>
            </w:r>
            <w:r w:rsidRPr="00DC3DAE">
              <w:t xml:space="preserve"> transformers and ensuring the instrument transformer is operating within its accuracy limits</w:t>
            </w:r>
          </w:p>
          <w:p w:rsidR="00000000" w:rsidRPr="00DC3DAE" w:rsidP="00DC3DAE">
            <w:pPr>
              <w:pStyle w:val="ListBullet"/>
            </w:pPr>
            <w:r w:rsidRPr="00DC3DAE">
              <w:t>communicating with market participants, including meter data provider and responsible person</w:t>
            </w:r>
          </w:p>
          <w:p w:rsidR="00000000" w:rsidRPr="00DC3DAE" w:rsidP="00DC3DAE">
            <w:pPr>
              <w:pStyle w:val="ListBullet"/>
            </w:pPr>
            <w:r w:rsidRPr="00DC3DAE">
              <w:t>knowledge of high fault currents</w:t>
            </w:r>
          </w:p>
          <w:p w:rsidR="00000000" w:rsidRPr="00DC3DAE" w:rsidP="00DC3DAE">
            <w:pPr>
              <w:pStyle w:val="ListBullet"/>
            </w:pPr>
            <w:r w:rsidRPr="00DC3DAE">
              <w:t>risk assessments and safe systems of</w:t>
            </w:r>
            <w:r w:rsidRPr="00DC3DAE">
              <w:t xml:space="preserve"> work.</w:t>
            </w:r>
          </w:p>
        </w:tc>
      </w:tr>
    </w:tbl>
    <w:p w:rsidR="00000000" w:rsidRPr="00DC3DAE" w:rsidP="00DC3DAE">
      <w:pPr>
        <w:pStyle w:val="NoPaddingFontSize1"/>
      </w:pPr>
    </w:p>
    <w:p w:rsidR="00000000" w:rsidRPr="00DC3DAE" w:rsidP="00DC3DAE">
      <w:pPr>
        <w:pStyle w:val="AllowPageBreak"/>
      </w:pPr>
    </w:p>
    <w:p w:rsidR="00000000" w:rsidRPr="00DC3DAE" w:rsidP="00DC3DAE">
      <w:pPr>
        <w:pStyle w:val="Heading1"/>
      </w:pPr>
      <w:bookmarkStart w:id="4" w:name="O_1178726"/>
      <w:bookmarkEnd w:id="4"/>
      <w:r w:rsidRPr="00DC3D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DAE" w:rsidP="00DC3DAE">
            <w:pPr>
              <w:pStyle w:val="BodyText"/>
            </w:pPr>
            <w:r w:rsidRPr="00DC3DAE">
              <w:t>Assessors must hold credentials specified within the Standards for Registered Training Organisations current at the time of assessment.</w:t>
            </w:r>
          </w:p>
          <w:p w:rsidR="00000000" w:rsidRPr="00DC3DAE" w:rsidP="00DC3DAE">
            <w:pPr>
              <w:pStyle w:val="BodyText"/>
            </w:pPr>
            <w:r w:rsidRPr="00DC3DA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C3DAE" w:rsidP="00DC3DAE">
            <w:pPr>
              <w:pStyle w:val="BodyText"/>
            </w:pPr>
            <w:r w:rsidRPr="00DC3DAE">
              <w:t>Assessment must occur in workplace operational</w:t>
            </w:r>
            <w:r w:rsidRPr="00DC3DAE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DC3DAE" w:rsidP="00DC3DAE">
            <w:pPr>
              <w:pStyle w:val="BodyText"/>
            </w:pPr>
            <w:r w:rsidRPr="00DC3DAE">
              <w:t>Assessment processes and techniques mus</w:t>
            </w:r>
            <w:r w:rsidRPr="00DC3DAE">
              <w:t xml:space="preserve">t be appropriate to the language, literacy and numeracy </w:t>
            </w:r>
            <w:r w:rsidRPr="00DC3DAE">
              <w:t>requirements of the work being performed and the needs of the candidate.</w:t>
            </w:r>
          </w:p>
          <w:p w:rsidR="00000000" w:rsidRPr="00DC3DAE" w:rsidP="00DC3DAE">
            <w:pPr>
              <w:pStyle w:val="BodyText"/>
            </w:pPr>
            <w:r w:rsidRPr="00DC3DAE">
              <w:t>Resources for assessment must include access to:</w:t>
            </w:r>
          </w:p>
          <w:p w:rsidR="00000000" w:rsidRPr="00DC3DAE" w:rsidP="00DC3DAE">
            <w:pPr>
              <w:pStyle w:val="ListBullet"/>
            </w:pPr>
            <w:r w:rsidRPr="00DC3DAE">
              <w:t>a range of relevant exercises, case studies and/or other simulations</w:t>
            </w:r>
          </w:p>
          <w:p w:rsidR="00000000" w:rsidRPr="00DC3DAE" w:rsidP="00DC3DAE">
            <w:pPr>
              <w:pStyle w:val="ListBullet"/>
            </w:pPr>
            <w:r w:rsidRPr="00DC3DAE">
              <w:t>relevant</w:t>
            </w:r>
            <w:r w:rsidRPr="00DC3DAE">
              <w:t xml:space="preserve"> and appropriate materials, tools, facilities, equipment and personal protective equipment (PPE) currently used in industry</w:t>
            </w:r>
          </w:p>
          <w:p w:rsidR="00000000" w:rsidRPr="00DC3DAE" w:rsidP="00DC3DAE">
            <w:pPr>
              <w:pStyle w:val="ListBullet"/>
            </w:pPr>
            <w:r w:rsidRPr="00DC3DAE">
              <w:t xml:space="preserve">applicable documentation, including workplace procedures, relevant industry standards, equipment specifications, regulations, codes </w:t>
            </w:r>
            <w:r w:rsidRPr="00DC3DAE">
              <w:t>of practice and operation manuals.</w:t>
            </w:r>
          </w:p>
        </w:tc>
      </w:tr>
    </w:tbl>
    <w:p w:rsidR="00000000" w:rsidRPr="00DC3DAE" w:rsidP="00DC3DAE">
      <w:pPr>
        <w:pStyle w:val="NoPaddingFontSize1"/>
      </w:pPr>
    </w:p>
    <w:p w:rsidR="00000000" w:rsidRPr="00DC3DAE" w:rsidP="00DC3DAE">
      <w:pPr>
        <w:pStyle w:val="AllowPageBreak"/>
      </w:pPr>
    </w:p>
    <w:p w:rsidR="00000000" w:rsidRPr="00DC3DAE" w:rsidP="00DC3DAE">
      <w:pPr>
        <w:pStyle w:val="Heading1"/>
      </w:pPr>
      <w:bookmarkStart w:id="5" w:name="O_1178734"/>
      <w:bookmarkEnd w:id="5"/>
      <w:r w:rsidRPr="00DC3DAE">
        <w:t>Links</w:t>
      </w:r>
    </w:p>
    <w:p w:rsidR="00000000" w:rsidRPr="00DC3DAE" w:rsidP="00D65074">
      <w:pPr>
        <w:pStyle w:val="BodyText"/>
      </w:pPr>
      <w:r w:rsidRPr="00DC3D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9363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C3DAE" w:rsidP="00DC3DAE"/>
    <w:sectPr w:rsidSect="00DC3D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AE" w:rsidRPr="00D65074" w:rsidP="00D650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74" w:rsidP="00DC3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5074" w:rsidP="00DC3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5074" w:rsidP="00DC3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DAE" w:rsidRPr="00D65074" w:rsidP="00D650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74" w:rsidRPr="002D2AF8" w:rsidP="00DC3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UETDRTS003 Commission energy/revenue metering schemes (complex)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65074" w:rsidP="00DC3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BA1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F46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2C2F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DAE"/>
  </w:style>
  <w:style w:type="character" w:customStyle="1" w:styleId="Heading1Char">
    <w:name w:val="Heading 1 Char"/>
    <w:basedOn w:val="DefaultParagraphFont"/>
    <w:link w:val="Heading1"/>
    <w:rsid w:val="00DC3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D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D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3D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3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3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D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D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3DAE"/>
    <w:rPr>
      <w:b/>
      <w:spacing w:val="0"/>
    </w:rPr>
  </w:style>
  <w:style w:type="paragraph" w:customStyle="1" w:styleId="SuperTitle">
    <w:name w:val="SuperTitle"/>
    <w:basedOn w:val="Title"/>
    <w:rsid w:val="00DC3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D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DAE"/>
    <w:rPr>
      <w:i/>
    </w:rPr>
  </w:style>
  <w:style w:type="paragraph" w:styleId="Caption">
    <w:name w:val="caption"/>
    <w:basedOn w:val="BodyText"/>
    <w:next w:val="Normal"/>
    <w:qFormat/>
    <w:rsid w:val="00DC3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DAE"/>
  </w:style>
  <w:style w:type="paragraph" w:styleId="TableofFigures">
    <w:name w:val="table of figures"/>
    <w:basedOn w:val="Normal"/>
    <w:next w:val="Normal"/>
    <w:semiHidden/>
    <w:rsid w:val="00DC3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D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3DAE"/>
    <w:rPr>
      <w:rFonts w:ascii="Wingdings" w:hAnsi="Wingdings"/>
    </w:rPr>
  </w:style>
  <w:style w:type="paragraph" w:customStyle="1" w:styleId="TableHeading">
    <w:name w:val="Table Heading"/>
    <w:basedOn w:val="HeadingBase"/>
    <w:rsid w:val="00DC3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DAE"/>
    <w:rPr>
      <w:color w:val="0033CC"/>
      <w:u w:val="none"/>
    </w:rPr>
  </w:style>
  <w:style w:type="paragraph" w:customStyle="1" w:styleId="BodyTextRight">
    <w:name w:val="Body Text Right"/>
    <w:basedOn w:val="BodyText"/>
    <w:rsid w:val="00DC3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D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DAE"/>
    <w:rPr>
      <w:sz w:val="32"/>
    </w:rPr>
  </w:style>
  <w:style w:type="paragraph" w:customStyle="1" w:styleId="HeadingProcedure">
    <w:name w:val="Heading Procedure"/>
    <w:basedOn w:val="HeadingBase"/>
    <w:next w:val="Normal"/>
    <w:rsid w:val="00DC3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DAE"/>
    <w:pPr>
      <w:spacing w:before="60" w:after="60"/>
    </w:pPr>
  </w:style>
  <w:style w:type="paragraph" w:styleId="ListContinue">
    <w:name w:val="List Continue"/>
    <w:basedOn w:val="List"/>
    <w:rsid w:val="00DC3DAE"/>
    <w:pPr>
      <w:ind w:firstLine="0"/>
    </w:pPr>
  </w:style>
  <w:style w:type="paragraph" w:customStyle="1" w:styleId="ListNote">
    <w:name w:val="List Note"/>
    <w:basedOn w:val="List"/>
    <w:rsid w:val="00DC3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DAE"/>
    <w:rPr>
      <w:rFonts w:ascii="Courier New" w:hAnsi="Courier New"/>
    </w:rPr>
  </w:style>
  <w:style w:type="paragraph" w:customStyle="1" w:styleId="NoteBullet">
    <w:name w:val="Note Bullet"/>
    <w:basedOn w:val="Note"/>
    <w:rsid w:val="00DC3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D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3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DAE"/>
    <w:rPr>
      <w:b/>
      <w:smallCaps/>
    </w:rPr>
  </w:style>
  <w:style w:type="paragraph" w:customStyle="1" w:styleId="TableListNumber">
    <w:name w:val="Table List Number"/>
    <w:basedOn w:val="ListNumber"/>
    <w:rsid w:val="00DC3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DAE"/>
    <w:pPr>
      <w:numPr>
        <w:numId w:val="9"/>
      </w:numPr>
    </w:pPr>
  </w:style>
  <w:style w:type="paragraph" w:customStyle="1" w:styleId="ListAlpha2">
    <w:name w:val="List Alpha 2"/>
    <w:basedOn w:val="List2"/>
    <w:rsid w:val="00DC3DAE"/>
    <w:pPr>
      <w:numPr>
        <w:numId w:val="8"/>
      </w:numPr>
    </w:pPr>
  </w:style>
  <w:style w:type="paragraph" w:styleId="List2">
    <w:name w:val="List 2"/>
    <w:basedOn w:val="BodyText"/>
    <w:rsid w:val="00DC3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D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D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3DAE"/>
    <w:pPr>
      <w:numPr>
        <w:numId w:val="4"/>
      </w:numPr>
    </w:pPr>
  </w:style>
  <w:style w:type="paragraph" w:styleId="ListContinue2">
    <w:name w:val="List Continue 2"/>
    <w:basedOn w:val="List2"/>
    <w:rsid w:val="00DC3DAE"/>
    <w:pPr>
      <w:ind w:firstLine="0"/>
    </w:pPr>
  </w:style>
  <w:style w:type="paragraph" w:styleId="ListContinue3">
    <w:name w:val="List Continue 3"/>
    <w:basedOn w:val="List3"/>
    <w:rsid w:val="00DC3DAE"/>
    <w:pPr>
      <w:ind w:left="1021" w:firstLine="0"/>
    </w:pPr>
  </w:style>
  <w:style w:type="paragraph" w:styleId="ListContinue4">
    <w:name w:val="List Continue 4"/>
    <w:basedOn w:val="List4"/>
    <w:rsid w:val="00DC3DAE"/>
    <w:pPr>
      <w:ind w:firstLine="0"/>
    </w:pPr>
  </w:style>
  <w:style w:type="paragraph" w:styleId="ListContinue5">
    <w:name w:val="List Continue 5"/>
    <w:basedOn w:val="List5"/>
    <w:rsid w:val="00DC3DAE"/>
    <w:pPr>
      <w:ind w:firstLine="0"/>
    </w:pPr>
  </w:style>
  <w:style w:type="paragraph" w:styleId="ListNumber3">
    <w:name w:val="List Number 3"/>
    <w:basedOn w:val="List3"/>
    <w:rsid w:val="00DC3DAE"/>
    <w:pPr>
      <w:numPr>
        <w:numId w:val="5"/>
      </w:numPr>
    </w:pPr>
  </w:style>
  <w:style w:type="paragraph" w:styleId="ListNumber4">
    <w:name w:val="List Number 4"/>
    <w:basedOn w:val="List4"/>
    <w:rsid w:val="00DC3DAE"/>
    <w:pPr>
      <w:numPr>
        <w:numId w:val="6"/>
      </w:numPr>
    </w:pPr>
  </w:style>
  <w:style w:type="paragraph" w:styleId="ListNumber5">
    <w:name w:val="List Number 5"/>
    <w:basedOn w:val="List5"/>
    <w:rsid w:val="00DC3DAE"/>
    <w:pPr>
      <w:numPr>
        <w:numId w:val="7"/>
      </w:numPr>
    </w:pPr>
  </w:style>
  <w:style w:type="paragraph" w:styleId="BlockText">
    <w:name w:val="Block Text"/>
    <w:basedOn w:val="Normal"/>
    <w:rsid w:val="00DC3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DAE"/>
    <w:rPr>
      <w:sz w:val="16"/>
      <w:vertAlign w:val="superscript"/>
    </w:rPr>
  </w:style>
  <w:style w:type="character" w:customStyle="1" w:styleId="Symbols">
    <w:name w:val="Symbols"/>
    <w:basedOn w:val="DefaultParagraphFont"/>
    <w:rsid w:val="00DC3DAE"/>
    <w:rPr>
      <w:rFonts w:ascii="Symbol" w:hAnsi="Symbol"/>
    </w:rPr>
  </w:style>
  <w:style w:type="character" w:customStyle="1" w:styleId="MenuOptions">
    <w:name w:val="Menu Options"/>
    <w:basedOn w:val="DefaultParagraphFont"/>
    <w:rsid w:val="00DC3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DAE"/>
    <w:rPr>
      <w:b/>
    </w:rPr>
  </w:style>
  <w:style w:type="character" w:customStyle="1" w:styleId="Underlined">
    <w:name w:val="Underlined"/>
    <w:basedOn w:val="DefaultParagraphFont"/>
    <w:rsid w:val="00DC3DAE"/>
    <w:rPr>
      <w:u w:val="single"/>
    </w:rPr>
  </w:style>
  <w:style w:type="paragraph" w:customStyle="1" w:styleId="TableBodyTextRight">
    <w:name w:val="Table Body Text Right"/>
    <w:basedOn w:val="TableBodyText"/>
    <w:rsid w:val="00DC3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DAE"/>
    <w:rPr>
      <w:sz w:val="18"/>
    </w:rPr>
  </w:style>
  <w:style w:type="paragraph" w:customStyle="1" w:styleId="BodySmallRight">
    <w:name w:val="Body Small Right"/>
    <w:basedOn w:val="BodyTextRight"/>
    <w:rsid w:val="00DC3DAE"/>
    <w:rPr>
      <w:sz w:val="18"/>
      <w:szCs w:val="18"/>
    </w:rPr>
  </w:style>
  <w:style w:type="paragraph" w:customStyle="1" w:styleId="MarginEdition">
    <w:name w:val="Margin Edition"/>
    <w:basedOn w:val="MarginNote"/>
    <w:rsid w:val="00DC3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DAE"/>
    <w:rPr>
      <w:sz w:val="2"/>
      <w:szCs w:val="2"/>
    </w:rPr>
  </w:style>
  <w:style w:type="character" w:customStyle="1" w:styleId="Small">
    <w:name w:val="Small"/>
    <w:basedOn w:val="DefaultParagraphFont"/>
    <w:rsid w:val="00DC3DAE"/>
    <w:rPr>
      <w:sz w:val="16"/>
    </w:rPr>
  </w:style>
  <w:style w:type="paragraph" w:customStyle="1" w:styleId="WideTable">
    <w:name w:val="Wide Table"/>
    <w:basedOn w:val="Normal"/>
    <w:rsid w:val="00DC3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DAE"/>
  </w:style>
  <w:style w:type="paragraph" w:styleId="Quote">
    <w:name w:val="Quote"/>
    <w:basedOn w:val="Heading1"/>
    <w:link w:val="QuoteChar"/>
    <w:qFormat/>
    <w:rsid w:val="00DC3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DAE"/>
    <w:pPr>
      <w:pageBreakBefore/>
    </w:pPr>
  </w:style>
  <w:style w:type="paragraph" w:customStyle="1" w:styleId="Border">
    <w:name w:val="Border"/>
    <w:basedOn w:val="Normal"/>
    <w:qFormat/>
    <w:rsid w:val="00DC3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DAE"/>
    <w:rPr>
      <w:u w:val="single"/>
    </w:rPr>
  </w:style>
  <w:style w:type="character" w:customStyle="1" w:styleId="BoldandItalics">
    <w:name w:val="Bold and Italics"/>
    <w:qFormat/>
    <w:rsid w:val="00DC3DAE"/>
    <w:rPr>
      <w:b/>
      <w:i/>
      <w:u w:val="none"/>
    </w:rPr>
  </w:style>
  <w:style w:type="paragraph" w:styleId="BalloonText">
    <w:name w:val="Balloon Text"/>
    <w:basedOn w:val="Normal"/>
    <w:link w:val="BalloonTextChar"/>
    <w:rsid w:val="00DC3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DAE"/>
    <w:pPr>
      <w:spacing w:before="0" w:after="0"/>
    </w:pPr>
  </w:style>
  <w:style w:type="paragraph" w:customStyle="1" w:styleId="BodyTextBold">
    <w:name w:val="Body Text Bold"/>
    <w:basedOn w:val="BodyText"/>
    <w:qFormat/>
    <w:rsid w:val="00DC3DAE"/>
    <w:rPr>
      <w:b/>
    </w:rPr>
  </w:style>
  <w:style w:type="character" w:styleId="Hyperlink">
    <w:name w:val="Hyperlink"/>
    <w:basedOn w:val="DefaultParagraphFont"/>
    <w:uiPriority w:val="99"/>
    <w:unhideWhenUsed/>
    <w:rsid w:val="00D650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4311</Characters>
  <Application>Microsoft Office Word</Application>
  <DocSecurity>0</DocSecurity>
  <Lines>102</Lines>
  <Paragraphs>70</Paragraphs>
  <ScaleCrop>false</ScaleCrop>
  <Company>Author-it Software Corporation Ltd.</Company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UETDRTS003 Commission energy/revenue metering schemes (complex)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2022-06-03T04:27:00Z</dcterms:created>
  <dcterms:modified xsi:type="dcterms:W3CDTF">2022-06-03T04:27:00Z</dcterms:modified>
</cp:coreProperties>
</file>