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5CA" w:rsidP="00175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UETDRTS001 Commission complex network protection and control systems</w:t>
      </w:r>
      <w:r>
        <w:fldChar w:fldCharType="end"/>
      </w:r>
    </w:p>
    <w:p w:rsidR="001755CA" w:rsidP="001755CA">
      <w:pPr>
        <w:pStyle w:val="Version"/>
        <w:sectPr w:rsidSect="00776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97C" w:rsidP="0077697C">
      <w:pPr>
        <w:pStyle w:val="SuperHeading"/>
      </w:pPr>
      <w:r w:rsidRPr="0077697C">
        <w:t>UETDRTS001 Commission complex network protection and control systems</w:t>
      </w:r>
    </w:p>
    <w:p w:rsidR="00000000" w:rsidRPr="0077697C" w:rsidP="0077697C">
      <w:pPr>
        <w:pStyle w:val="Heading1"/>
      </w:pPr>
      <w:bookmarkStart w:id="1" w:name="O_1178776"/>
      <w:bookmarkEnd w:id="1"/>
      <w:r w:rsidRPr="007769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7697C" w:rsidP="0077697C">
      <w:pPr>
        <w:pStyle w:val="NoPaddingFontSize1"/>
      </w:pPr>
    </w:p>
    <w:p w:rsidR="00000000" w:rsidRPr="0077697C" w:rsidP="0077697C">
      <w:pPr>
        <w:pStyle w:val="AllowPageBreak"/>
      </w:pPr>
    </w:p>
    <w:p w:rsidR="00000000" w:rsidRPr="0077697C" w:rsidP="0077697C">
      <w:pPr>
        <w:pStyle w:val="Heading1"/>
      </w:pPr>
      <w:bookmarkStart w:id="2" w:name="O_1178777"/>
      <w:bookmarkEnd w:id="2"/>
      <w:r w:rsidRPr="007769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t>This unit covers the commissioning of network protection and control systems in complex situations and includes isolation, inspection, monitoring, testing, adjustment and repair, refurbishment and/or overhaul and functiona</w:t>
            </w:r>
            <w:r w:rsidRPr="0077697C">
              <w:t>l checks. It includes schemes from discrete and interdependent schemes, such as distance, differential, transformer differential, bus zone, bus overcurrent, revenue metering, current transformer accuracy, supervisory control and data acquisition (SCADA), c</w:t>
            </w:r>
            <w:r w:rsidRPr="0077697C">
              <w:t>ommunications, harmonic control, point on wave and high voltage (HV) plant testing.</w:t>
            </w:r>
          </w:p>
          <w:p w:rsidR="00000000" w:rsidRPr="0077697C" w:rsidP="0077697C">
            <w:pPr>
              <w:pStyle w:val="BodyText"/>
            </w:pPr>
            <w:r w:rsidRPr="0077697C">
              <w:t>The application of the skills and knowledge described in this unit may require a licence/registration to practice in the workplace subject to regulations for undertaking of</w:t>
            </w:r>
            <w:r w:rsidRPr="0077697C">
              <w:t xml:space="preserve"> electrical work.  </w:t>
            </w:r>
          </w:p>
          <w:p w:rsidR="00000000" w:rsidRPr="0077697C" w:rsidP="0077697C">
            <w:pPr>
              <w:pStyle w:val="BodyText"/>
            </w:pPr>
            <w:r w:rsidRPr="0077697C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77697C" w:rsidP="0077697C">
      <w:pPr>
        <w:pStyle w:val="NoPaddingFontSize1"/>
      </w:pPr>
    </w:p>
    <w:p w:rsidR="00000000" w:rsidRPr="0077697C" w:rsidP="0077697C">
      <w:pPr>
        <w:pStyle w:val="AllowPageBreak"/>
      </w:pPr>
    </w:p>
    <w:p w:rsidR="00000000" w:rsidRPr="0077697C" w:rsidP="0077697C">
      <w:pPr>
        <w:pStyle w:val="Heading1"/>
      </w:pPr>
      <w:bookmarkStart w:id="3" w:name="O_1178778"/>
      <w:bookmarkEnd w:id="3"/>
      <w:r w:rsidRPr="007769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t>UEENEED104A Use engineering applicatio</w:t>
            </w:r>
            <w:r w:rsidRPr="0077697C">
              <w:t>ns software on personal computers</w:t>
            </w:r>
          </w:p>
          <w:p w:rsidR="00000000" w:rsidRPr="0077697C" w:rsidP="0077697C">
            <w:pPr>
              <w:pStyle w:val="BodyText"/>
            </w:pPr>
            <w:r w:rsidRPr="0077697C">
              <w:t>UEENEEE101A Apply Occupational Health and Safety regulations, codes and practices in the workplace</w:t>
            </w:r>
          </w:p>
          <w:p w:rsidR="00000000" w:rsidRPr="0077697C" w:rsidP="0077697C">
            <w:pPr>
              <w:pStyle w:val="BodyText"/>
            </w:pPr>
            <w:r w:rsidRPr="0077697C">
              <w:t>UEENEEE102A Fabricate, assemble and dismantle utilities industry components</w:t>
            </w:r>
          </w:p>
          <w:p w:rsidR="00000000" w:rsidRPr="0077697C" w:rsidP="0077697C">
            <w:pPr>
              <w:pStyle w:val="BodyText"/>
            </w:pPr>
            <w:r w:rsidRPr="0077697C">
              <w:t>UEENEEE104A Solve problems in d.c. circuits</w:t>
            </w:r>
          </w:p>
          <w:p w:rsidR="00000000" w:rsidRPr="0077697C" w:rsidP="0077697C">
            <w:pPr>
              <w:pStyle w:val="BodyText"/>
            </w:pPr>
            <w:r w:rsidRPr="0077697C">
              <w:t>UEE</w:t>
            </w:r>
            <w:r w:rsidRPr="0077697C">
              <w:t>NEEE107A Use drawings, diagrams, schedules, standards, codes and specifications</w:t>
            </w:r>
          </w:p>
          <w:p w:rsidR="00000000" w:rsidRPr="0077697C" w:rsidP="0077697C">
            <w:pPr>
              <w:pStyle w:val="BodyText"/>
            </w:pPr>
            <w:r w:rsidRPr="0077697C">
              <w:t>UEENEEE124A Compile and produce an energy sector detailed report</w:t>
            </w:r>
          </w:p>
          <w:p w:rsidR="00000000" w:rsidRPr="0077697C" w:rsidP="0077697C">
            <w:pPr>
              <w:pStyle w:val="BodyText"/>
            </w:pPr>
            <w:r w:rsidRPr="0077697C">
              <w:t>UEENEEE125A Provide engineering solutions for problems in complex multiple path circuits</w:t>
            </w:r>
          </w:p>
          <w:p w:rsidR="00000000" w:rsidRPr="0077697C" w:rsidP="0077697C">
            <w:pPr>
              <w:pStyle w:val="BodyText"/>
            </w:pPr>
            <w:r w:rsidRPr="0077697C">
              <w:t>UEENEEE126A Provide so</w:t>
            </w:r>
            <w:r w:rsidRPr="0077697C">
              <w:t>lutions to basic engineering computational problems</w:t>
            </w:r>
          </w:p>
          <w:p w:rsidR="00000000" w:rsidRPr="0077697C" w:rsidP="0077697C">
            <w:pPr>
              <w:pStyle w:val="BodyText"/>
            </w:pPr>
            <w:r w:rsidRPr="0077697C">
              <w:t>UEENEEG101A Solve problems in electromagnetic devices and related circuits</w:t>
            </w:r>
          </w:p>
          <w:p w:rsidR="00000000" w:rsidRPr="0077697C" w:rsidP="0077697C">
            <w:pPr>
              <w:pStyle w:val="BodyText"/>
            </w:pPr>
            <w:r w:rsidRPr="0077697C">
              <w:t>UEENEEG102A Solve problems in low voltage a.c. circuits</w:t>
            </w:r>
          </w:p>
          <w:p w:rsidR="00000000" w:rsidRPr="0077697C" w:rsidP="0077697C">
            <w:pPr>
              <w:pStyle w:val="BodyText"/>
            </w:pPr>
            <w:r w:rsidRPr="0077697C">
              <w:t>UEENEEG149A Provide engineering solutions to problems in complex polyphase power circuits</w:t>
            </w:r>
          </w:p>
          <w:p w:rsidR="00000000" w:rsidRPr="0077697C" w:rsidP="0077697C">
            <w:pPr>
              <w:pStyle w:val="BodyText"/>
            </w:pPr>
            <w:r w:rsidRPr="0077697C">
              <w:t>UETDREL001 Apply environmental requirements</w:t>
            </w:r>
          </w:p>
          <w:p w:rsidR="00000000" w:rsidRPr="0077697C" w:rsidP="0077697C">
            <w:pPr>
              <w:pStyle w:val="BodyText"/>
            </w:pPr>
            <w:r w:rsidRPr="0077697C">
              <w:t>UETDREL005 Work safely in the vicinity of live electrical apparatus</w:t>
            </w:r>
          </w:p>
          <w:p w:rsidR="00000000" w:rsidRPr="0077697C" w:rsidP="0077697C">
            <w:pPr>
              <w:pStyle w:val="BodyText"/>
            </w:pPr>
            <w:r w:rsidRPr="0077697C">
              <w:t>UETDRIS005 Implement &amp; monitor power system environmen</w:t>
            </w:r>
            <w:r w:rsidRPr="0077697C">
              <w:t>tal &amp; sustainable energy management policies &amp; procedures</w:t>
            </w:r>
          </w:p>
          <w:p w:rsidR="00000000" w:rsidRPr="0077697C" w:rsidP="0077697C">
            <w:pPr>
              <w:pStyle w:val="BodyText"/>
            </w:pPr>
            <w:r w:rsidRPr="0077697C">
              <w:t>UETDRIS006 Implement and monitor the power system organisational WHS/OHS policies, procedures and programs</w:t>
            </w:r>
          </w:p>
          <w:p w:rsidR="00000000" w:rsidRPr="0077697C" w:rsidP="0077697C">
            <w:pPr>
              <w:pStyle w:val="BodyText"/>
            </w:pPr>
            <w:r w:rsidRPr="0077697C">
              <w:t>UETDRTS004 Commission interdependent network protection and control systems</w:t>
            </w:r>
          </w:p>
          <w:p w:rsidR="00000000" w:rsidRPr="0077697C" w:rsidP="0077697C">
            <w:pPr>
              <w:pStyle w:val="BodyText"/>
            </w:pPr>
            <w:r w:rsidRPr="0077697C">
              <w:t>UETDRTS010 Deve</w:t>
            </w:r>
            <w:r w:rsidRPr="0077697C">
              <w:t>lop power systems secondary isolation instructional documents</w:t>
            </w:r>
          </w:p>
          <w:p w:rsidR="00000000" w:rsidRPr="0077697C" w:rsidP="0077697C">
            <w:pPr>
              <w:pStyle w:val="BodyText"/>
            </w:pPr>
            <w:r w:rsidRPr="0077697C">
              <w:t>UETDRTS015 Maintain complex network protection and control systems</w:t>
            </w:r>
          </w:p>
          <w:p w:rsidR="00000000" w:rsidRPr="0077697C" w:rsidP="0077697C">
            <w:pPr>
              <w:pStyle w:val="BodyText"/>
            </w:pPr>
            <w:r w:rsidRPr="0077697C">
              <w:t>UETDRTS017 Maintain interdependent network protection and control systems</w:t>
            </w:r>
          </w:p>
        </w:tc>
      </w:tr>
    </w:tbl>
    <w:p w:rsidR="00000000" w:rsidRPr="0077697C" w:rsidP="0077697C">
      <w:pPr>
        <w:pStyle w:val="NoPaddingFontSize1"/>
      </w:pPr>
    </w:p>
    <w:p w:rsidR="00000000" w:rsidRPr="0077697C" w:rsidP="0077697C">
      <w:pPr>
        <w:pStyle w:val="AllowPageBreak"/>
      </w:pPr>
    </w:p>
    <w:p w:rsidR="00000000" w:rsidRPr="0077697C" w:rsidP="0077697C">
      <w:pPr>
        <w:pStyle w:val="Heading1"/>
      </w:pPr>
      <w:bookmarkStart w:id="4" w:name="O_1178779"/>
      <w:bookmarkEnd w:id="4"/>
      <w:r w:rsidRPr="007769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t>Testing</w:t>
            </w:r>
          </w:p>
        </w:tc>
      </w:tr>
    </w:tbl>
    <w:p w:rsidR="00000000" w:rsidRPr="0077697C" w:rsidP="0077697C">
      <w:pPr>
        <w:pStyle w:val="NoPaddingFontSize1"/>
      </w:pPr>
    </w:p>
    <w:p w:rsidR="00000000" w:rsidRPr="0077697C" w:rsidP="0077697C">
      <w:pPr>
        <w:pStyle w:val="AllowPageBreak"/>
      </w:pPr>
    </w:p>
    <w:p w:rsidR="00000000" w:rsidRPr="0077697C" w:rsidP="0077697C">
      <w:pPr>
        <w:pStyle w:val="Heading1"/>
      </w:pPr>
      <w:bookmarkStart w:id="5" w:name="O_1178780"/>
      <w:bookmarkEnd w:id="5"/>
      <w:r w:rsidRPr="007769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t>Not applicable.</w:t>
            </w:r>
          </w:p>
        </w:tc>
      </w:tr>
    </w:tbl>
    <w:p w:rsidR="00000000" w:rsidRPr="0077697C" w:rsidP="0077697C">
      <w:pPr>
        <w:pStyle w:val="NoPaddingFontSize1"/>
      </w:pPr>
    </w:p>
    <w:p w:rsidR="00000000" w:rsidRPr="0077697C" w:rsidP="0077697C">
      <w:pPr>
        <w:pStyle w:val="AllowPageBreak"/>
      </w:pPr>
    </w:p>
    <w:p w:rsidR="00000000" w:rsidRPr="0077697C" w:rsidP="0077697C">
      <w:pPr>
        <w:pStyle w:val="Heading1"/>
      </w:pPr>
      <w:bookmarkStart w:id="6" w:name="O_1178781"/>
      <w:bookmarkEnd w:id="6"/>
      <w:r w:rsidRPr="0077697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PERFORMANCE CRITERIA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Performance criteria describe the performance needed to demonstrate achievement of the element.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rPr>
                <w:rStyle w:val="SpecialBold"/>
              </w:rPr>
              <w:t>Plan for the commissioning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Work health and safety (WHS)/occupational health and safety (OHS) practi</w:t>
            </w:r>
            <w:r w:rsidRPr="0077697C">
              <w:t>ces/procedures and environmental and sustainable energy procedures, which may influence the commissioning of network protection and control systems (complex), are reviewed and determined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Purpose of the commissioning of network protection and control systems (complex) is established after data is analysed and expected outcomes of the work are confirmed with appropriate personnel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Organisational established procedures on policies and s</w:t>
            </w:r>
            <w:r w:rsidRPr="0077697C">
              <w:t>pecifications for the commissioning of network protection and control systems (complex) are obtained or established with appropriate personnel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 xml:space="preserve">Testing procedures are discussed with/directed to appropriate personnel in order to ascertain the project </w:t>
            </w:r>
            <w:r w:rsidRPr="0077697C">
              <w:t>brief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Testing parameters are established from organisational established procedures and policies and specifications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Equipment/tools and personal protective equipment (PPE) are selected based on specified performance criteria and established procedures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Work roles and tasks are allocated according to requirements and individual competencies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Work is prioritis</w:t>
            </w:r>
            <w:r w:rsidRPr="0077697C">
              <w:t>ed and sequenced for the most efficient/effective outcome, completed within an acceptable timeframe, to a quality standard and in accordance with established procedures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 xml:space="preserve">Liaison and communication issues with others/authorised personnel, authorities, </w:t>
            </w:r>
            <w:r w:rsidRPr="0077697C">
              <w:t>clients and landowners are resolved and activities coordinated to carry out work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Risk control measures are identified, prioritised and evaluated against the work schedule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Relevant work permits are secured to coordinate the performance of work according to requirements and/or established procedures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rPr>
                <w:rStyle w:val="SpecialBold"/>
              </w:rPr>
              <w:t>Carry out the commissioning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Circuit/systems modelling is used to evaluate alternative proposals in accordance with established procedures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WHS/OHS and sustainable energy principles, functionality and practices to reduce the incidents of accidents and minimise waste are incorpor</w:t>
            </w:r>
            <w:r w:rsidRPr="0077697C">
              <w:t>ated into the project in accordance with requirements and/or established procedures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Commissioning of network protection and control systems (complex) decisions are made on the basis of safety and effective outcomes according to requirements and/or e</w:t>
            </w:r>
            <w:r w:rsidRPr="0077697C">
              <w:t>stablished procedures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Mathematical and/or engineering models of the schemes are used to analyse the effectiveness of the finished project in accordance with requirements and established procedures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Technical advice is given regarding po</w:t>
            </w:r>
            <w:r w:rsidRPr="0077697C">
              <w:t>tential hazards, safety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Essential knowledge</w:t>
            </w:r>
            <w:r w:rsidRPr="0077697C">
              <w:t xml:space="preserve">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Testing of network protection and control systems (com</w:t>
            </w:r>
            <w:r w:rsidRPr="0077697C">
              <w:t>plex) is undertaken according to requirements and established procedures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Work teams/groups are arranged/coordinated/evaluated to ensure planned goals are met according to established procedures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Solutions to non-routine problems are identified and actioned, using acquired essential knowledge and associated skills, according to requirements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Quality of work is monitored against personal performance agreement and/or established organisational</w:t>
            </w:r>
            <w:r w:rsidRPr="0077697C">
              <w:t xml:space="preserve"> and professional standards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Strategic plans are developed incorporating organisation initiatives in accordance with established procedures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rPr>
                <w:rStyle w:val="SpecialBold"/>
              </w:rPr>
              <w:t>Complete the commissioning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Final inspections of th</w:t>
            </w:r>
            <w:r w:rsidRPr="0077697C">
              <w:t>e network protection and control systems (complex) are undertaken to ensure they comply with all requirements and include all specifications and documentations needed to complete the project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Appropriate personnel are notified of completion and reports and/or completion documents are finalised/commissioned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t>Reports and/or completion documents are submitted to relevant personnel/organisations for approval and, where applicable, statutory o</w:t>
            </w:r>
            <w:r w:rsidRPr="0077697C">
              <w:t>r regulatory approval</w:t>
            </w:r>
          </w:p>
        </w:tc>
      </w:tr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7C">
            <w:pPr>
              <w:pStyle w:val="BodyText"/>
              <w:rPr>
                <w:lang w:val="en-NZ"/>
              </w:rPr>
            </w:pPr>
            <w:r w:rsidRPr="0077697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t>Approved copies of the commissioning of network protection and control systems (complex) documents are issued and records are updated in accordance with established procedures</w:t>
            </w:r>
          </w:p>
        </w:tc>
      </w:tr>
    </w:tbl>
    <w:p w:rsidR="00000000" w:rsidRPr="0077697C" w:rsidP="0077697C">
      <w:pPr>
        <w:pStyle w:val="NoPaddingFontSize1"/>
      </w:pPr>
    </w:p>
    <w:p w:rsidR="00000000" w:rsidRPr="0077697C" w:rsidP="0077697C">
      <w:pPr>
        <w:pStyle w:val="AllowPageBreak"/>
      </w:pPr>
    </w:p>
    <w:p w:rsidR="00000000" w:rsidRPr="0077697C" w:rsidP="0077697C">
      <w:pPr>
        <w:pStyle w:val="Heading1"/>
      </w:pPr>
      <w:bookmarkStart w:id="7" w:name="O_1178782"/>
      <w:bookmarkEnd w:id="7"/>
      <w:r w:rsidRPr="007769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t>Foundation s</w:t>
            </w:r>
            <w:r w:rsidRPr="0077697C">
              <w:t>kills essential to performance are explicit in the performance criteria of this unit of competency.</w:t>
            </w:r>
          </w:p>
        </w:tc>
      </w:tr>
    </w:tbl>
    <w:p w:rsidR="00000000" w:rsidRPr="0077697C" w:rsidP="0077697C">
      <w:pPr>
        <w:pStyle w:val="NoPaddingFontSize1"/>
      </w:pPr>
    </w:p>
    <w:p w:rsidR="00000000" w:rsidRPr="0077697C" w:rsidP="0077697C">
      <w:pPr>
        <w:pStyle w:val="AllowPageBreak"/>
      </w:pPr>
    </w:p>
    <w:p w:rsidR="00000000" w:rsidRPr="0077697C" w:rsidP="0077697C">
      <w:pPr>
        <w:pStyle w:val="Heading1"/>
      </w:pPr>
      <w:bookmarkStart w:id="8" w:name="O_1178783"/>
      <w:bookmarkEnd w:id="8"/>
      <w:r w:rsidRPr="007769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t>Range is restricted to essential operating conditions and any other variables essential to the work environment.</w:t>
            </w:r>
          </w:p>
          <w:p w:rsidR="00000000" w:rsidRPr="0077697C" w:rsidP="0077697C">
            <w:pPr>
              <w:pStyle w:val="BodyText"/>
            </w:pPr>
            <w:r w:rsidRPr="0077697C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77697C" w:rsidP="0077697C">
      <w:pPr>
        <w:pStyle w:val="NoPaddingFontSize1"/>
      </w:pPr>
    </w:p>
    <w:p w:rsidR="00000000" w:rsidRPr="0077697C" w:rsidP="0077697C">
      <w:pPr>
        <w:pStyle w:val="AllowPageBreak"/>
      </w:pPr>
    </w:p>
    <w:p w:rsidR="00000000" w:rsidRPr="0077697C" w:rsidP="0077697C">
      <w:pPr>
        <w:pStyle w:val="Heading1"/>
      </w:pPr>
      <w:bookmarkStart w:id="9" w:name="O_1178784"/>
      <w:bookmarkEnd w:id="9"/>
      <w:r w:rsidRPr="007769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6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7C" w:rsidP="0077697C">
            <w:pPr>
              <w:pStyle w:val="BodyText"/>
            </w:pPr>
            <w:r w:rsidRPr="0077697C">
              <w:t xml:space="preserve">This unit replaces and is equivalent to UETTDRTS36 Commission </w:t>
            </w:r>
            <w:r w:rsidRPr="0077697C">
              <w:t>complex network protection and control systems.</w:t>
            </w:r>
          </w:p>
        </w:tc>
      </w:tr>
    </w:tbl>
    <w:p w:rsidR="00000000" w:rsidRPr="0077697C" w:rsidP="0077697C">
      <w:pPr>
        <w:pStyle w:val="NoPaddingFontSize1"/>
      </w:pPr>
    </w:p>
    <w:p w:rsidR="00000000" w:rsidRPr="0077697C" w:rsidP="0077697C">
      <w:pPr>
        <w:pStyle w:val="AllowPageBreak"/>
      </w:pPr>
    </w:p>
    <w:p w:rsidR="00000000" w:rsidRPr="0077697C" w:rsidP="0077697C">
      <w:pPr>
        <w:pStyle w:val="Heading1"/>
      </w:pPr>
      <w:bookmarkStart w:id="10" w:name="O_1178791"/>
      <w:bookmarkEnd w:id="10"/>
      <w:r w:rsidRPr="0077697C">
        <w:t>Links</w:t>
      </w:r>
    </w:p>
    <w:p w:rsidR="00000000" w:rsidRPr="0077697C" w:rsidP="001755CA">
      <w:pPr>
        <w:pStyle w:val="BodyText"/>
      </w:pPr>
      <w:r w:rsidRPr="00776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E1EF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7697C" w:rsidP="0077697C"/>
    <w:sectPr w:rsidSect="007769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7C" w:rsidRPr="001755CA" w:rsidP="00175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5CA" w:rsidP="00776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5CA" w:rsidP="00776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55CA" w:rsidP="00776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97C" w:rsidRPr="001755CA" w:rsidP="00175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5CA" w:rsidRPr="002D2AF8" w:rsidP="00776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UETDRTS001 Commission complex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755CA" w:rsidP="00776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97C"/>
  </w:style>
  <w:style w:type="character" w:customStyle="1" w:styleId="Heading1Char">
    <w:name w:val="Heading 1 Char"/>
    <w:basedOn w:val="DefaultParagraphFont"/>
    <w:link w:val="Heading1"/>
    <w:rsid w:val="00776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9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697C"/>
    <w:rPr>
      <w:b/>
      <w:spacing w:val="0"/>
    </w:rPr>
  </w:style>
  <w:style w:type="paragraph" w:customStyle="1" w:styleId="SuperHeading">
    <w:name w:val="SuperHeading"/>
    <w:basedOn w:val="Normal"/>
    <w:rsid w:val="00776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6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9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69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6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9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9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97C"/>
    <w:rPr>
      <w:i/>
    </w:rPr>
  </w:style>
  <w:style w:type="paragraph" w:styleId="Caption">
    <w:name w:val="caption"/>
    <w:basedOn w:val="BodyText"/>
    <w:next w:val="Normal"/>
    <w:qFormat/>
    <w:rsid w:val="00776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97C"/>
  </w:style>
  <w:style w:type="paragraph" w:styleId="TableofFigures">
    <w:name w:val="table of figures"/>
    <w:basedOn w:val="Normal"/>
    <w:next w:val="Normal"/>
    <w:semiHidden/>
    <w:rsid w:val="00776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9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697C"/>
    <w:rPr>
      <w:rFonts w:ascii="Wingdings" w:hAnsi="Wingdings"/>
    </w:rPr>
  </w:style>
  <w:style w:type="paragraph" w:customStyle="1" w:styleId="TableHeading">
    <w:name w:val="Table Heading"/>
    <w:basedOn w:val="HeadingBase"/>
    <w:rsid w:val="00776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97C"/>
    <w:rPr>
      <w:color w:val="0033CC"/>
      <w:u w:val="none"/>
    </w:rPr>
  </w:style>
  <w:style w:type="paragraph" w:customStyle="1" w:styleId="BodyTextRight">
    <w:name w:val="Body Text Right"/>
    <w:basedOn w:val="BodyText"/>
    <w:rsid w:val="00776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9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97C"/>
    <w:rPr>
      <w:sz w:val="32"/>
    </w:rPr>
  </w:style>
  <w:style w:type="paragraph" w:customStyle="1" w:styleId="HeadingProcedure">
    <w:name w:val="Heading Procedure"/>
    <w:basedOn w:val="HeadingBase"/>
    <w:next w:val="Normal"/>
    <w:rsid w:val="00776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97C"/>
    <w:pPr>
      <w:spacing w:before="60" w:after="60"/>
    </w:pPr>
  </w:style>
  <w:style w:type="paragraph" w:styleId="ListContinue">
    <w:name w:val="List Continue"/>
    <w:basedOn w:val="List"/>
    <w:rsid w:val="0077697C"/>
    <w:pPr>
      <w:ind w:firstLine="0"/>
    </w:pPr>
  </w:style>
  <w:style w:type="paragraph" w:customStyle="1" w:styleId="ListNote">
    <w:name w:val="List Note"/>
    <w:basedOn w:val="List"/>
    <w:rsid w:val="00776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97C"/>
    <w:rPr>
      <w:rFonts w:ascii="Courier New" w:hAnsi="Courier New"/>
    </w:rPr>
  </w:style>
  <w:style w:type="paragraph" w:customStyle="1" w:styleId="NoteBullet">
    <w:name w:val="Note Bullet"/>
    <w:basedOn w:val="Note"/>
    <w:rsid w:val="00776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9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6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97C"/>
    <w:rPr>
      <w:b/>
      <w:smallCaps/>
    </w:rPr>
  </w:style>
  <w:style w:type="paragraph" w:customStyle="1" w:styleId="TableListNumber">
    <w:name w:val="Table List Number"/>
    <w:basedOn w:val="ListNumber"/>
    <w:rsid w:val="00776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97C"/>
    <w:pPr>
      <w:numPr>
        <w:numId w:val="7"/>
      </w:numPr>
    </w:pPr>
  </w:style>
  <w:style w:type="paragraph" w:customStyle="1" w:styleId="ListAlpha2">
    <w:name w:val="List Alpha 2"/>
    <w:basedOn w:val="List2"/>
    <w:rsid w:val="0077697C"/>
    <w:pPr>
      <w:numPr>
        <w:numId w:val="6"/>
      </w:numPr>
    </w:pPr>
  </w:style>
  <w:style w:type="paragraph" w:styleId="List2">
    <w:name w:val="List 2"/>
    <w:basedOn w:val="BodyText"/>
    <w:rsid w:val="00776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9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9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697C"/>
    <w:pPr>
      <w:numPr>
        <w:numId w:val="2"/>
      </w:numPr>
    </w:pPr>
  </w:style>
  <w:style w:type="paragraph" w:styleId="ListContinue2">
    <w:name w:val="List Continue 2"/>
    <w:basedOn w:val="List2"/>
    <w:rsid w:val="0077697C"/>
    <w:pPr>
      <w:ind w:firstLine="0"/>
    </w:pPr>
  </w:style>
  <w:style w:type="paragraph" w:styleId="ListContinue3">
    <w:name w:val="List Continue 3"/>
    <w:basedOn w:val="List3"/>
    <w:rsid w:val="0077697C"/>
    <w:pPr>
      <w:ind w:left="1021" w:firstLine="0"/>
    </w:pPr>
  </w:style>
  <w:style w:type="paragraph" w:styleId="ListContinue4">
    <w:name w:val="List Continue 4"/>
    <w:basedOn w:val="List4"/>
    <w:rsid w:val="0077697C"/>
    <w:pPr>
      <w:ind w:firstLine="0"/>
    </w:pPr>
  </w:style>
  <w:style w:type="paragraph" w:styleId="ListContinue5">
    <w:name w:val="List Continue 5"/>
    <w:basedOn w:val="List5"/>
    <w:rsid w:val="0077697C"/>
    <w:pPr>
      <w:ind w:firstLine="0"/>
    </w:pPr>
  </w:style>
  <w:style w:type="paragraph" w:styleId="ListNumber3">
    <w:name w:val="List Number 3"/>
    <w:basedOn w:val="List3"/>
    <w:rsid w:val="0077697C"/>
    <w:pPr>
      <w:numPr>
        <w:numId w:val="3"/>
      </w:numPr>
    </w:pPr>
  </w:style>
  <w:style w:type="paragraph" w:styleId="ListNumber4">
    <w:name w:val="List Number 4"/>
    <w:basedOn w:val="List4"/>
    <w:rsid w:val="0077697C"/>
    <w:pPr>
      <w:numPr>
        <w:numId w:val="4"/>
      </w:numPr>
    </w:pPr>
  </w:style>
  <w:style w:type="paragraph" w:styleId="ListNumber5">
    <w:name w:val="List Number 5"/>
    <w:basedOn w:val="List5"/>
    <w:rsid w:val="0077697C"/>
    <w:pPr>
      <w:numPr>
        <w:numId w:val="5"/>
      </w:numPr>
    </w:pPr>
  </w:style>
  <w:style w:type="paragraph" w:styleId="BlockText">
    <w:name w:val="Block Text"/>
    <w:basedOn w:val="Normal"/>
    <w:rsid w:val="00776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97C"/>
    <w:rPr>
      <w:sz w:val="16"/>
      <w:vertAlign w:val="superscript"/>
    </w:rPr>
  </w:style>
  <w:style w:type="character" w:customStyle="1" w:styleId="Symbols">
    <w:name w:val="Symbols"/>
    <w:basedOn w:val="DefaultParagraphFont"/>
    <w:rsid w:val="0077697C"/>
    <w:rPr>
      <w:rFonts w:ascii="Symbol" w:hAnsi="Symbol"/>
    </w:rPr>
  </w:style>
  <w:style w:type="character" w:customStyle="1" w:styleId="MenuOptions">
    <w:name w:val="Menu Options"/>
    <w:basedOn w:val="DefaultParagraphFont"/>
    <w:rsid w:val="00776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97C"/>
    <w:rPr>
      <w:b/>
    </w:rPr>
  </w:style>
  <w:style w:type="character" w:customStyle="1" w:styleId="Underlined">
    <w:name w:val="Underlined"/>
    <w:basedOn w:val="DefaultParagraphFont"/>
    <w:rsid w:val="0077697C"/>
    <w:rPr>
      <w:u w:val="single"/>
    </w:rPr>
  </w:style>
  <w:style w:type="paragraph" w:customStyle="1" w:styleId="TableBodyTextRight">
    <w:name w:val="Table Body Text Right"/>
    <w:basedOn w:val="TableBodyText"/>
    <w:rsid w:val="00776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97C"/>
    <w:rPr>
      <w:sz w:val="18"/>
    </w:rPr>
  </w:style>
  <w:style w:type="paragraph" w:customStyle="1" w:styleId="BodySmallRight">
    <w:name w:val="Body Small Right"/>
    <w:basedOn w:val="BodyTextRight"/>
    <w:rsid w:val="0077697C"/>
    <w:rPr>
      <w:sz w:val="18"/>
      <w:szCs w:val="18"/>
    </w:rPr>
  </w:style>
  <w:style w:type="paragraph" w:customStyle="1" w:styleId="MarginEdition">
    <w:name w:val="Margin Edition"/>
    <w:basedOn w:val="MarginNote"/>
    <w:rsid w:val="00776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97C"/>
    <w:rPr>
      <w:sz w:val="2"/>
      <w:szCs w:val="2"/>
    </w:rPr>
  </w:style>
  <w:style w:type="character" w:customStyle="1" w:styleId="Small">
    <w:name w:val="Small"/>
    <w:basedOn w:val="DefaultParagraphFont"/>
    <w:rsid w:val="0077697C"/>
    <w:rPr>
      <w:sz w:val="16"/>
    </w:rPr>
  </w:style>
  <w:style w:type="paragraph" w:customStyle="1" w:styleId="WideTable">
    <w:name w:val="Wide Table"/>
    <w:basedOn w:val="Normal"/>
    <w:rsid w:val="00776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97C"/>
  </w:style>
  <w:style w:type="paragraph" w:styleId="Quote">
    <w:name w:val="Quote"/>
    <w:basedOn w:val="Heading1"/>
    <w:link w:val="QuoteChar"/>
    <w:qFormat/>
    <w:rsid w:val="00776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97C"/>
    <w:pPr>
      <w:pageBreakBefore/>
    </w:pPr>
  </w:style>
  <w:style w:type="paragraph" w:customStyle="1" w:styleId="Border">
    <w:name w:val="Border"/>
    <w:basedOn w:val="Normal"/>
    <w:qFormat/>
    <w:rsid w:val="00776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97C"/>
    <w:rPr>
      <w:u w:val="single"/>
    </w:rPr>
  </w:style>
  <w:style w:type="character" w:customStyle="1" w:styleId="BoldandItalics">
    <w:name w:val="Bold and Italics"/>
    <w:qFormat/>
    <w:rsid w:val="0077697C"/>
    <w:rPr>
      <w:b/>
      <w:i/>
      <w:u w:val="none"/>
    </w:rPr>
  </w:style>
  <w:style w:type="paragraph" w:styleId="BalloonText">
    <w:name w:val="Balloon Text"/>
    <w:basedOn w:val="Normal"/>
    <w:link w:val="BalloonTextChar"/>
    <w:rsid w:val="00776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97C"/>
    <w:pPr>
      <w:spacing w:before="0" w:after="0"/>
    </w:pPr>
  </w:style>
  <w:style w:type="paragraph" w:customStyle="1" w:styleId="BodyTextBold">
    <w:name w:val="Body Text Bold"/>
    <w:basedOn w:val="BodyText"/>
    <w:qFormat/>
    <w:rsid w:val="0077697C"/>
    <w:rPr>
      <w:b/>
    </w:rPr>
  </w:style>
  <w:style w:type="character" w:styleId="Hyperlink">
    <w:name w:val="Hyperlink"/>
    <w:basedOn w:val="DefaultParagraphFont"/>
    <w:uiPriority w:val="99"/>
    <w:unhideWhenUsed/>
    <w:rsid w:val="00175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1081</Words>
  <Characters>7341</Characters>
  <Application>Microsoft Office Word</Application>
  <DocSecurity>0</DocSecurity>
  <Lines>271</Lines>
  <Paragraphs>123</Paragraphs>
  <ScaleCrop>false</ScaleCrop>
  <Company>Author-it Software Corporation Ltd.</Company>
  <LinksUpToDate>false</LinksUpToDate>
  <CharactersWithSpaces>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UETDRTS001 Commission complex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2022-06-03T04:36:00Z</dcterms:created>
  <dcterms:modified xsi:type="dcterms:W3CDTF">2022-06-03T04:36:00Z</dcterms:modified>
</cp:coreProperties>
</file>