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5B5" w:rsidP="00B955B5">
      <w:pPr>
        <w:pStyle w:val="Title"/>
      </w:pPr>
      <w:r>
        <w:fldChar w:fldCharType="begin"/>
      </w:r>
      <w:r>
        <w:instrText xml:space="preserve"> TITLE   \* MERGEFORMAT </w:instrText>
      </w:r>
      <w:r>
        <w:fldChar w:fldCharType="separate"/>
      </w:r>
      <w:r>
        <w:t>UETDRTO003 Establish and reinstate a power systems transmission structure work site</w:t>
      </w:r>
      <w:r>
        <w:fldChar w:fldCharType="end"/>
      </w:r>
    </w:p>
    <w:p w:rsidR="00B955B5" w:rsidP="00B955B5">
      <w:pPr>
        <w:pStyle w:val="Version"/>
        <w:sectPr w:rsidSect="00AF1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065" w:rsidP="00AF1065">
      <w:pPr>
        <w:pStyle w:val="SuperHeading"/>
      </w:pPr>
      <w:r w:rsidRPr="00AF1065">
        <w:t>UETDRTO003 Establish and reinstate a power systems transmission structure work site</w:t>
      </w:r>
    </w:p>
    <w:p w:rsidR="00000000" w:rsidRPr="00AF1065" w:rsidP="00AF1065">
      <w:pPr>
        <w:pStyle w:val="Heading1"/>
      </w:pPr>
      <w:bookmarkStart w:id="1" w:name="O_1180314"/>
      <w:bookmarkEnd w:id="1"/>
      <w:r w:rsidRPr="00AF1065">
        <w:t>Modification History</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Release 1. This is the first release of this unit of competency in the UET Transmission, Distribution and Rail Sector Training Package Release 2.0.</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2" w:name="O_1180315"/>
      <w:bookmarkEnd w:id="2"/>
      <w:r w:rsidRPr="00AF1065">
        <w:t>Application</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This unit covers the operation/maintenance of support plant and equipment a</w:t>
            </w:r>
            <w:r w:rsidRPr="00AF1065">
              <w:t>nd tools used for excavation work associated with foundations and footings for the construction of transmission towers. It also covers the preparation of the worksite and the reinstatement of the ground surface. Scope of maintenance includes visual inspect</w:t>
            </w:r>
            <w:r w:rsidRPr="00AF1065">
              <w:t>ion, lubrication, gland nipping, draining of water taps, degreasing and replacing gaskets. Use of relevant personal protective equipment (PPE) is also required.</w:t>
            </w:r>
          </w:p>
          <w:p w:rsidR="00000000" w:rsidRPr="00AF1065" w:rsidP="00AF1065">
            <w:pPr>
              <w:pStyle w:val="BodyText"/>
            </w:pPr>
            <w:r w:rsidRPr="00AF1065">
              <w:t>The application of the skills and knowledge described in this unit may require a licence/regist</w:t>
            </w:r>
            <w:r w:rsidRPr="00AF1065">
              <w:t xml:space="preserve">ration to practice in the workplace subject to regulations for undertaking of electrical work.  </w:t>
            </w:r>
          </w:p>
          <w:p w:rsidR="00000000" w:rsidRPr="00AF1065" w:rsidP="00AF1065">
            <w:pPr>
              <w:pStyle w:val="BodyText"/>
            </w:pPr>
            <w:r w:rsidRPr="00AF1065">
              <w:t>Other conditions may apply under state and territory legislative and regulatory licensing requirements which must be confirmed prior to commencing this unit.</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3" w:name="O_1180316"/>
      <w:bookmarkEnd w:id="3"/>
      <w:r w:rsidRPr="00AF1065">
        <w:t>Pre-requisite Unit</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 xml:space="preserve">UEECD0007 Apply work health and safety regulations, codes and practices in the workplace </w:t>
            </w:r>
          </w:p>
          <w:p w:rsidR="00000000" w:rsidRPr="00AF1065" w:rsidP="00AF1065">
            <w:pPr>
              <w:pStyle w:val="BodyText"/>
            </w:pPr>
            <w:r w:rsidRPr="00AF1065">
              <w:t>UETDREL002 Comply with environmental requirements</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4" w:name="O_1180317"/>
      <w:bookmarkEnd w:id="4"/>
      <w:r w:rsidRPr="00AF1065">
        <w:t>Competency Field</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Transmission Overhead</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5" w:name="O_1180318"/>
      <w:bookmarkEnd w:id="5"/>
      <w:r w:rsidRPr="00AF1065">
        <w:t>Unit Sector</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Not applicable.</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6" w:name="O_1180319"/>
      <w:bookmarkEnd w:id="6"/>
      <w:r w:rsidRPr="00AF106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F10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PERFORMANCE CRITERIA</w:t>
            </w:r>
          </w:p>
        </w:tc>
      </w:tr>
      <w:tr w:rsidTr="00AF10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 xml:space="preserve">Elements describe the essential </w:t>
            </w:r>
            <w:r w:rsidRPr="00AF1065">
              <w:t>outcomes.</w:t>
            </w:r>
          </w:p>
        </w:tc>
        <w:tc>
          <w:tcPr>
            <w:tcW w:w="6329" w:type="dxa"/>
            <w:gridSpan w:val="2"/>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 xml:space="preserve">Performance criteria describe the performance needed to </w:t>
            </w:r>
            <w:r w:rsidRPr="00AF1065">
              <w:t>demonstrate ac</w:t>
            </w:r>
            <w:r w:rsidRPr="00AF1065">
              <w:t>hievement of the element.</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Prepare to establish and/or restore a transmission tower worksite schedule of work</w:t>
            </w: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Work instructions are identified, received and confirmed</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Relevant requirements, specifications and priorities are set in accordance</w:t>
            </w:r>
            <w:r w:rsidRPr="00AF1065">
              <w:t xml:space="preserve"> with procedures to establish and confirm the work schedule</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Work health and safety (WHS)/occupational health and safety (OHS) policies and procedures to be followed for the work to be performed are received and confirmed</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Suggestions to assist with the establishing/restoration of the worksite are made to others involved in the work</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Hazards are identified, WHS/OHS risks assessed and emergency exits kept clear according to given instructions and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 xml:space="preserve">Scope of responsibility under the relevant work permit, where appropriate, are received and confirmed with relevant personnel according to requirements and established procedures </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Resources, including equipment, tools, drawings, notices and P</w:t>
            </w:r>
            <w:r w:rsidRPr="00AF1065">
              <w:t>PE, required for the job are identified and checked for working order according to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Relevant responsibilities associated with first a</w:t>
            </w:r>
            <w:r w:rsidRPr="00AF1065">
              <w:t>id and other related work safety procedures at the worksite are checked and confirmed in accordance with requirements and established procedures to ensure safety measures are followed in the instance of an incident</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Client issues are referred to appr</w:t>
            </w:r>
            <w:r w:rsidRPr="00AF1065">
              <w:t>opriate personnel in accordance with industry/community standards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Site preparation is confirmed according to given instructions, as is the site safety plan and the work schedule for a quality outcome and to minimise risk and damage to property, com</w:t>
            </w:r>
            <w:r w:rsidRPr="00AF1065">
              <w:t>merce and individuals in accordance with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Road signs, barriers and warning devices are correctly positioned in accordance with given instructions and requirements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Establish and/or restore the worksite schedule of work</w:t>
            </w: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WHS/OHS and sustainable energy principles and practices to reduce the incidents of accidents and minimise waste associated with establishing/restoring the worksite and/or using of plant and equipment are followed in accordance with given instructions, requ</w:t>
            </w:r>
            <w:r w:rsidRPr="00AF1065">
              <w:t>irements and/or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Site hazards, such as lifting, climbing, working in confined spaces and/or aloft, and use of power tools/equipment, techniques and practices, are safely followed in accordance with given instructions and accord</w:t>
            </w:r>
            <w:r w:rsidRPr="00AF1065">
              <w:t xml:space="preserve">ing to requirements </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Operational knowledge for establishing/restoration of the worksite and for operating support plant and equipment is confirmed to ensure completion in an agreed timeframe and to quality standards with a minimum of waste according</w:t>
            </w:r>
            <w:r w:rsidRPr="00AF1065">
              <w:t xml:space="preserve"> to requirements and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Establishing/restoring the worksite and operating support plant and equipment is used safely and carried out in accordance with given instructions and established procedures to ensure all process aspects o</w:t>
            </w:r>
            <w:r w:rsidRPr="00AF1065">
              <w:t>f the work are confirmed</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Hazard warnings and safety signs are recognised and hazards and assessed WHS/OHS risks reported to immediate authorised personnel for directions according to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Non-routine events are referred to immediate authorised personnel for directions according to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Problems associated with establishing/restoring the worksite and the operation of support plant and equipment are dealt with using a</w:t>
            </w:r>
            <w:r w:rsidRPr="00AF1065">
              <w:t>cquired known solutions and skills related to routine procedures to ensure work instructions and established procedures are met</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Ongoing checks of quality of the work are undertaken and work is completed within an allocated timeframe in accordance wi</w:t>
            </w:r>
            <w:r w:rsidRPr="00AF1065">
              <w:t>th given instructions and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rPr>
                <w:rStyle w:val="SpecialBold"/>
              </w:rPr>
              <w:t>Review and document establishment and/or restoration of worksite schedule of work</w:t>
            </w: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Work undertaken is checked against work schedule and anomalies reported to authorised persons in accordance with estab</w:t>
            </w:r>
            <w:r w:rsidRPr="00AF1065">
              <w:t>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Accidents and/or incidents are actioned and reported to authorised personnel in accordance with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Worksite is rehabilitated, cleaned up and made safe in accordance with given instructions and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Tools, equipment and any surplus resources and materials are, where appropriate, cleaned, checked and returned to storage in accorda</w:t>
            </w:r>
            <w:r w:rsidRPr="00AF1065">
              <w:t>nce with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Appropriate personnel are notified of work completion according to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Work completion records a</w:t>
            </w:r>
            <w:r w:rsidRPr="00AF1065">
              <w:t>nd report forms/data sheets are completed accurately in accordance with given instructions and established procedures</w:t>
            </w:r>
          </w:p>
        </w:tc>
      </w:tr>
      <w:tr w:rsidTr="00AF10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10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Performance feedback is sought to confirm outcomes are in agreement with work requirements and specifications</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7" w:name="O_1180320"/>
      <w:bookmarkEnd w:id="7"/>
      <w:r w:rsidRPr="00AF1065">
        <w:t>Foundation Skills</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Foundation skills essential to performance are explicit in the performance criteria of this unit of competency.</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8" w:name="O_1180321"/>
      <w:bookmarkEnd w:id="8"/>
      <w:r w:rsidRPr="00AF1065">
        <w:t>Range of Conditions</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Range is restricted to essential operating conditions and any other variables essential to the work environment.</w:t>
            </w:r>
          </w:p>
          <w:p w:rsidR="00000000" w:rsidRPr="00AF1065" w:rsidP="00AF1065">
            <w:pPr>
              <w:pStyle w:val="BodyText"/>
            </w:pPr>
            <w:r w:rsidRPr="00AF1065">
              <w:t>Non-essential conditions may be found in the UET Transmission, Distribution and Rail Sector Training Package Companion Volume Implementation Gu</w:t>
            </w:r>
            <w:r w:rsidRPr="00AF1065">
              <w:t>ide.</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9" w:name="O_1180322"/>
      <w:bookmarkEnd w:id="9"/>
      <w:r w:rsidRPr="00AF1065">
        <w:t>Unit Mapping Information</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This unit replaces and is equivalent to UETTDRTP22 Establish and reinstate a power systems transmission structure work site.</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10" w:name="O_1180329"/>
      <w:bookmarkEnd w:id="10"/>
      <w:r w:rsidRPr="00AF1065">
        <w:t>Links</w:t>
      </w:r>
    </w:p>
    <w:p w:rsidR="00000000" w:rsidRPr="00AF1065" w:rsidP="00B955B5">
      <w:pPr>
        <w:pStyle w:val="BodyText"/>
      </w:pPr>
      <w:r w:rsidRPr="00AF1065">
        <w:t>Companion Volume Implementation Guides are found in V</w:t>
      </w:r>
      <w:r w:rsidRPr="00AF1065">
        <w:t xml:space="preserve">ETNet - </w:t>
      </w:r>
      <w:r>
        <w:fldChar w:fldCharType="begin"/>
      </w:r>
      <w:r>
        <w:instrText xml:space="preserve"> HYPERLINK "https://vetnet.gov.au/Pages/TrainingDocs.aspx?q=229bace1-b7bc-4653-9300-dffb13ecfad7" </w:instrText>
      </w:r>
      <w:r>
        <w:fldChar w:fldCharType="separate"/>
      </w:r>
      <w:r w:rsidRPr="00A41D3E">
        <w:rPr>
          <w:rStyle w:val="Hyperlink"/>
        </w:rPr>
        <w:t>https://vetnet.gov.au/Pages/TrainingDocs.aspx?q=229bace1-b7bc-4653-9300-dffb13ecfad7</w:t>
      </w:r>
      <w:r>
        <w:fldChar w:fldCharType="end"/>
      </w:r>
    </w:p>
    <w:p w:rsidR="00000000" w:rsidRPr="00AF1065" w:rsidP="00B955B5">
      <w:pPr>
        <w:pStyle w:val="BodyText"/>
        <w:sectPr w:rsidSect="00AF1065">
          <w:headerReference w:type="default" r:id="rId10"/>
          <w:footerReference w:type="default" r:id="rId11"/>
          <w:pgSz w:w="11908" w:h="16833"/>
          <w:pgMar w:top="1702" w:right="1418" w:bottom="1702" w:left="1418" w:header="992" w:footer="992" w:gutter="0"/>
          <w:cols w:space="720"/>
          <w:noEndnote/>
          <w:docGrid w:linePitch="299"/>
        </w:sectPr>
      </w:pPr>
    </w:p>
    <w:p w:rsidR="00000000" w:rsidRPr="00AF1065" w:rsidP="00AF1065">
      <w:pPr>
        <w:pStyle w:val="SuperHeading"/>
      </w:pPr>
      <w:r w:rsidRPr="00AF1065">
        <w:t>Assessment Requirements for UETDRTO003 Establish and reinstate a power systems transmission structure work site</w:t>
      </w:r>
    </w:p>
    <w:p w:rsidR="00000000" w:rsidRPr="00AF1065" w:rsidP="00AF1065">
      <w:pPr>
        <w:pStyle w:val="Heading1"/>
      </w:pPr>
      <w:bookmarkStart w:id="11" w:name="O_1180324"/>
      <w:bookmarkEnd w:id="11"/>
      <w:r w:rsidRPr="00AF1065">
        <w:t>Modification History</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Release 1. This is the first release of this unit of competency in the UET Transmission, Distribution and Rail Sector Training Package Release 2.0.</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12" w:name="O_1180325"/>
      <w:bookmarkEnd w:id="12"/>
      <w:r w:rsidRPr="00AF1065">
        <w:t>Performance Evidence</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 xml:space="preserve">Evidence required to demonstrate competence in this unit must be relevant to and satisfy all of the requirements of the elements and performance criteria on at least two separate occasions and include:  </w:t>
            </w:r>
          </w:p>
        </w:tc>
      </w:tr>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ListBullet"/>
            </w:pPr>
            <w:r w:rsidRPr="00AF1065">
              <w:t>applying relevant work health and safety (WHS)/occ</w:t>
            </w:r>
            <w:r w:rsidRPr="00AF1065">
              <w:t xml:space="preserve">upational health and safety (OHS) requirements, including the use of risk control measures </w:t>
            </w:r>
          </w:p>
          <w:p w:rsidR="00000000" w:rsidRPr="00AF1065" w:rsidP="00AF1065">
            <w:pPr>
              <w:pStyle w:val="ListBullet"/>
            </w:pPr>
            <w:r w:rsidRPr="00AF1065">
              <w:t>applying sustainable energy principles and practices</w:t>
            </w:r>
          </w:p>
          <w:p w:rsidR="00000000" w:rsidRPr="00AF1065" w:rsidP="00AF1065">
            <w:pPr>
              <w:pStyle w:val="ListBullet"/>
            </w:pPr>
            <w:r w:rsidRPr="00AF1065">
              <w:t>using plans, drawings, maps/work schedules to define work to be completed, indicating WHS/OHS and environmental</w:t>
            </w:r>
            <w:r w:rsidRPr="00AF1065">
              <w:t xml:space="preserve"> issues/hazards</w:t>
            </w:r>
          </w:p>
          <w:p w:rsidR="00000000" w:rsidRPr="00AF1065" w:rsidP="00AF1065">
            <w:pPr>
              <w:pStyle w:val="ListBullet"/>
            </w:pPr>
            <w:r w:rsidRPr="00AF1065">
              <w:t>verifying qualifications to operate machinery and perform machinery daily log checks</w:t>
            </w:r>
          </w:p>
          <w:p w:rsidR="00000000" w:rsidRPr="00AF1065" w:rsidP="00AF1065">
            <w:pPr>
              <w:pStyle w:val="ListBullet"/>
            </w:pPr>
            <w:r w:rsidRPr="00AF1065">
              <w:t>submitting Dial Before You Dig application forms</w:t>
            </w:r>
          </w:p>
          <w:p w:rsidR="00000000" w:rsidRPr="00AF1065" w:rsidP="00AF1065">
            <w:pPr>
              <w:pStyle w:val="ListBullet"/>
            </w:pPr>
            <w:r w:rsidRPr="00AF1065">
              <w:t>verifying understanding of material safety data sheets (MSDS) and work permits</w:t>
            </w:r>
          </w:p>
          <w:p w:rsidR="00000000" w:rsidRPr="00AF1065" w:rsidP="00AF1065">
            <w:pPr>
              <w:pStyle w:val="ListBullet"/>
            </w:pPr>
            <w:r w:rsidRPr="00AF1065">
              <w:t>undertaking appropriate tra</w:t>
            </w:r>
            <w:r w:rsidRPr="00AF1065">
              <w:t>ffic control management</w:t>
            </w:r>
          </w:p>
          <w:p w:rsidR="00000000" w:rsidRPr="00AF1065" w:rsidP="00AF1065">
            <w:pPr>
              <w:pStyle w:val="ListBullet"/>
            </w:pPr>
            <w:r w:rsidRPr="00AF1065">
              <w:t>verifying an understanding of working safely with hazardous materials and equipment, safe manual handling techniques and correct use of personal protective equipment (PPE)</w:t>
            </w:r>
          </w:p>
          <w:p w:rsidR="00000000" w:rsidRPr="00AF1065" w:rsidP="00AF1065">
            <w:pPr>
              <w:pStyle w:val="ListBullet"/>
            </w:pPr>
            <w:r w:rsidRPr="00AF1065">
              <w:t>operating safely at least five (5) of the following types of</w:t>
            </w:r>
            <w:r w:rsidRPr="00AF1065">
              <w:t xml:space="preserve"> equipment/tools:</w:t>
            </w:r>
          </w:p>
          <w:p w:rsidR="00000000" w:rsidRPr="00AF1065" w:rsidP="00AF1065">
            <w:pPr>
              <w:pStyle w:val="ListBullet2"/>
            </w:pPr>
            <w:r w:rsidRPr="00AF1065">
              <w:t>small generator sets</w:t>
            </w:r>
          </w:p>
          <w:p w:rsidR="00000000" w:rsidRPr="00AF1065" w:rsidP="00AF1065">
            <w:pPr>
              <w:pStyle w:val="ListBullet2"/>
            </w:pPr>
            <w:r w:rsidRPr="00AF1065">
              <w:t>welding units</w:t>
            </w:r>
          </w:p>
          <w:p w:rsidR="00000000" w:rsidRPr="00AF1065" w:rsidP="00AF1065">
            <w:pPr>
              <w:pStyle w:val="ListBullet2"/>
            </w:pPr>
            <w:r w:rsidRPr="00AF1065">
              <w:t>air compressors and hoses</w:t>
            </w:r>
          </w:p>
          <w:p w:rsidR="00000000" w:rsidRPr="00AF1065" w:rsidP="00AF1065">
            <w:pPr>
              <w:pStyle w:val="ListBullet2"/>
            </w:pPr>
            <w:r w:rsidRPr="00AF1065">
              <w:t>pneumatic and/or electric hammers</w:t>
            </w:r>
          </w:p>
          <w:p w:rsidR="00000000" w:rsidRPr="00AF1065" w:rsidP="00AF1065">
            <w:pPr>
              <w:pStyle w:val="ListBullet2"/>
            </w:pPr>
            <w:r w:rsidRPr="00AF1065">
              <w:t>rollers and compactors</w:t>
            </w:r>
          </w:p>
          <w:p w:rsidR="00000000" w:rsidRPr="00AF1065" w:rsidP="00AF1065">
            <w:pPr>
              <w:pStyle w:val="ListBullet2"/>
            </w:pPr>
            <w:r w:rsidRPr="00AF1065">
              <w:t>concrete and ceramic cutters</w:t>
            </w:r>
          </w:p>
          <w:p w:rsidR="00000000" w:rsidRPr="00AF1065" w:rsidP="00AF1065">
            <w:pPr>
              <w:pStyle w:val="ListBullet2"/>
            </w:pPr>
            <w:r w:rsidRPr="00AF1065">
              <w:t>pumps</w:t>
            </w:r>
          </w:p>
          <w:p w:rsidR="00000000" w:rsidRPr="00AF1065" w:rsidP="00AF1065">
            <w:pPr>
              <w:pStyle w:val="ListBullet2"/>
            </w:pPr>
            <w:r w:rsidRPr="00AF1065">
              <w:t>post hole diggers</w:t>
            </w:r>
          </w:p>
          <w:p w:rsidR="00000000" w:rsidRPr="00AF1065" w:rsidP="00AF1065">
            <w:pPr>
              <w:pStyle w:val="ListBullet2"/>
            </w:pPr>
            <w:r w:rsidRPr="00AF1065">
              <w:t>drills</w:t>
            </w:r>
          </w:p>
          <w:p w:rsidR="00000000" w:rsidRPr="00AF1065" w:rsidP="00AF1065">
            <w:pPr>
              <w:pStyle w:val="ListBullet"/>
            </w:pPr>
            <w:r w:rsidRPr="00AF1065">
              <w:t>operating at least one (1) of the following pieces of equipment:</w:t>
            </w:r>
          </w:p>
          <w:p w:rsidR="00000000" w:rsidRPr="00AF1065" w:rsidP="00AF1065">
            <w:pPr>
              <w:pStyle w:val="ListBullet2"/>
            </w:pPr>
            <w:r w:rsidRPr="00AF1065">
              <w:t>back hoes</w:t>
            </w:r>
          </w:p>
          <w:p w:rsidR="00000000" w:rsidRPr="00AF1065" w:rsidP="00AF1065">
            <w:pPr>
              <w:pStyle w:val="ListBullet2"/>
            </w:pPr>
            <w:r w:rsidRPr="00AF1065">
              <w:t>earth drilling rigs</w:t>
            </w:r>
          </w:p>
          <w:p w:rsidR="00000000" w:rsidRPr="00AF1065" w:rsidP="00AF1065">
            <w:pPr>
              <w:pStyle w:val="ListBullet2"/>
            </w:pPr>
            <w:r w:rsidRPr="00AF1065">
              <w:t>trench excavators</w:t>
            </w:r>
          </w:p>
          <w:p w:rsidR="00000000" w:rsidRPr="00AF1065" w:rsidP="00AF1065">
            <w:pPr>
              <w:pStyle w:val="ListBullet2"/>
            </w:pPr>
            <w:r w:rsidRPr="00AF1065">
              <w:t>heavy vehicles</w:t>
            </w:r>
          </w:p>
          <w:p w:rsidR="00000000" w:rsidRPr="00AF1065" w:rsidP="00AF1065">
            <w:pPr>
              <w:pStyle w:val="ListBullet"/>
            </w:pPr>
            <w:r w:rsidRPr="00AF1065">
              <w:t>dealing with unplanned events on at least one (1) occasion.</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13" w:name="O_1180326"/>
      <w:bookmarkEnd w:id="13"/>
      <w:r w:rsidRPr="00AF1065">
        <w:t>Knowledge Evidence</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065">
            <w:pPr>
              <w:pStyle w:val="BodyText"/>
              <w:rPr>
                <w:lang w:val="en-NZ"/>
              </w:rPr>
            </w:pPr>
            <w:r w:rsidRPr="00AF1065">
              <w:t>Evidence required to demonstrate competence in this unit must be relevant to and satisfy all of the requirements of the elements and performance criteria and include knowledge of:</w:t>
            </w:r>
          </w:p>
        </w:tc>
      </w:tr>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ListBullet"/>
            </w:pPr>
            <w:r w:rsidRPr="00AF1065">
              <w:t>hand tools and their use encompassing:</w:t>
            </w:r>
          </w:p>
          <w:p w:rsidR="00000000" w:rsidRPr="00AF1065" w:rsidP="00AF1065">
            <w:pPr>
              <w:pStyle w:val="ListBullet2"/>
            </w:pPr>
            <w:r w:rsidRPr="00AF1065">
              <w:t>hand tools for cutting, shaping, d</w:t>
            </w:r>
            <w:r w:rsidRPr="00AF1065">
              <w:t xml:space="preserve">rilling, threading, tapping and finishing metallic and non-metallic components - types of tools and their purpose, techniques for the correct and safe use of these </w:t>
            </w:r>
            <w:r w:rsidRPr="00AF1065">
              <w:t>tools, hazards associated with their use, and care and maintenance of hand tools</w:t>
            </w:r>
          </w:p>
          <w:p w:rsidR="00000000" w:rsidRPr="00AF1065" w:rsidP="00AF1065">
            <w:pPr>
              <w:pStyle w:val="ListBullet2"/>
            </w:pPr>
            <w:r w:rsidRPr="00AF1065">
              <w:t>tools for m</w:t>
            </w:r>
            <w:r w:rsidRPr="00AF1065">
              <w:t>easuring and marking out - types of tools and their purpose, techniques for the correct and safe use of these tools, hazards associated with their use, and care and maintenance of hand tools</w:t>
            </w:r>
          </w:p>
          <w:p w:rsidR="00000000" w:rsidRPr="00AF1065" w:rsidP="00AF1065">
            <w:pPr>
              <w:pStyle w:val="ListBullet2"/>
            </w:pPr>
            <w:r w:rsidRPr="00AF1065">
              <w:t>tools for dismantling and assembling electrical and electronic co</w:t>
            </w:r>
            <w:r w:rsidRPr="00AF1065">
              <w:t>mponents - types of tools and their purpose, techniques for the correct and safe use of these tools, hazards associated with their use, and care and maintenance of hand tools</w:t>
            </w:r>
          </w:p>
          <w:p w:rsidR="00000000" w:rsidRPr="00AF1065" w:rsidP="00AF1065">
            <w:pPr>
              <w:pStyle w:val="ListBullet"/>
            </w:pPr>
            <w:r w:rsidRPr="00AF1065">
              <w:t>fixed and portable tools and their use encompassing:</w:t>
            </w:r>
          </w:p>
          <w:p w:rsidR="00000000" w:rsidRPr="00AF1065" w:rsidP="00AF1065">
            <w:pPr>
              <w:pStyle w:val="ListBullet2"/>
            </w:pPr>
            <w:r w:rsidRPr="00AF1065">
              <w:t>fixed power tools for cutting, shaping, drilling and finishing metallic and non-metallic components - types of tools and their purpose, techniques for the correct and safe use of these tools, hazards associated with their use, and care and maintenance of f</w:t>
            </w:r>
            <w:r w:rsidRPr="00AF1065">
              <w:t>ixed power tools</w:t>
            </w:r>
          </w:p>
          <w:p w:rsidR="00000000" w:rsidRPr="00AF1065" w:rsidP="00AF1065">
            <w:pPr>
              <w:pStyle w:val="ListBullet2"/>
            </w:pPr>
            <w:r w:rsidRPr="00AF1065">
              <w:t>portable power tools for cutting, shaping, drilling and structural components - types of tools and their purpose, techniques for the correct and safe use of these tools, hazards associated with their use, care and maintenance of fixed powe</w:t>
            </w:r>
            <w:r w:rsidRPr="00AF1065">
              <w:t>r tools, and requirements for use on construction sites</w:t>
            </w:r>
          </w:p>
          <w:p w:rsidR="00000000" w:rsidRPr="00AF1065" w:rsidP="00AF1065">
            <w:pPr>
              <w:pStyle w:val="ListBullet"/>
            </w:pPr>
            <w:r w:rsidRPr="00AF1065">
              <w:t>materials properties encompassing:</w:t>
            </w:r>
          </w:p>
          <w:p w:rsidR="00000000" w:rsidRPr="00AF1065" w:rsidP="00AF1065">
            <w:pPr>
              <w:pStyle w:val="ListBullet2"/>
            </w:pPr>
            <w:r w:rsidRPr="00AF1065">
              <w:t>identification and classification of engineering materials material properties</w:t>
            </w:r>
          </w:p>
          <w:p w:rsidR="00000000" w:rsidRPr="00AF1065" w:rsidP="00AF1065">
            <w:pPr>
              <w:pStyle w:val="ListBullet2"/>
            </w:pPr>
            <w:r w:rsidRPr="00AF1065">
              <w:t>types and applications - properties of tensile strength; effects of temperature on t</w:t>
            </w:r>
            <w:r w:rsidRPr="00AF1065">
              <w:t>he expansion of metals; ductility, malleability, work hardening and annealing; and the conditions that lead to corrosion and the properties of timbers</w:t>
            </w:r>
          </w:p>
          <w:p w:rsidR="00000000" w:rsidRPr="00AF1065" w:rsidP="00AF1065">
            <w:pPr>
              <w:pStyle w:val="ListBullet"/>
            </w:pPr>
            <w:r w:rsidRPr="00AF1065">
              <w:t>requirements for the use of enterprise vehicles, such as trucks and four-wheel drives encompassing:</w:t>
            </w:r>
          </w:p>
          <w:p w:rsidR="00000000" w:rsidRPr="00AF1065" w:rsidP="00AF1065">
            <w:pPr>
              <w:pStyle w:val="ListBullet2"/>
            </w:pPr>
            <w:r w:rsidRPr="00AF1065">
              <w:t>sta</w:t>
            </w:r>
            <w:r w:rsidRPr="00AF1065">
              <w:t>ndards, codes, legislation, supply authority regulations and/or enterprise requirements associated with safe use of enterprise vehicles, including relevant certification and licensing, such as motor cars, light and heavy commercial trucks, heavy truck/trai</w:t>
            </w:r>
            <w:r w:rsidRPr="00AF1065">
              <w:t>ler combination and four-wheel drive vehicles</w:t>
            </w:r>
          </w:p>
          <w:p w:rsidR="00000000" w:rsidRPr="00AF1065" w:rsidP="00AF1065">
            <w:pPr>
              <w:pStyle w:val="ListBullet2"/>
            </w:pPr>
            <w:r w:rsidRPr="00AF1065">
              <w:t>compliance with regulations associated with the securing of loads prior for transportation</w:t>
            </w:r>
          </w:p>
          <w:p w:rsidR="00000000" w:rsidRPr="00AF1065" w:rsidP="00AF1065">
            <w:pPr>
              <w:pStyle w:val="ListBullet"/>
            </w:pPr>
            <w:r w:rsidRPr="00AF1065">
              <w:t>requirements for the use of chainsaws, including relevant certification and licensing, encompassing:</w:t>
            </w:r>
          </w:p>
          <w:p w:rsidR="00000000" w:rsidRPr="00AF1065" w:rsidP="00AF1065">
            <w:pPr>
              <w:pStyle w:val="ListBullet2"/>
            </w:pPr>
            <w:r w:rsidRPr="00AF1065">
              <w:t>safety precautio</w:t>
            </w:r>
            <w:r w:rsidRPr="00AF1065">
              <w:t>ns, requirements and responsibilities</w:t>
            </w:r>
          </w:p>
          <w:p w:rsidR="00000000" w:rsidRPr="00AF1065" w:rsidP="00AF1065">
            <w:pPr>
              <w:pStyle w:val="ListBullet2"/>
            </w:pPr>
            <w:r w:rsidRPr="00AF1065">
              <w:t>selection and use of appropriate PPE</w:t>
            </w:r>
          </w:p>
          <w:p w:rsidR="00000000" w:rsidRPr="00AF1065" w:rsidP="00AF1065">
            <w:pPr>
              <w:pStyle w:val="ListBullet2"/>
            </w:pPr>
            <w:r w:rsidRPr="00AF1065">
              <w:t>chainsaw operation - parts and function of components and ancillary equipment, pre-operational checks, starting procedures and safe use of chainsaw under load</w:t>
            </w:r>
          </w:p>
          <w:p w:rsidR="00000000" w:rsidRPr="00AF1065" w:rsidP="00AF1065">
            <w:pPr>
              <w:pStyle w:val="ListBullet2"/>
            </w:pPr>
            <w:r w:rsidRPr="00AF1065">
              <w:t>safe transporting and storage procedures.</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14" w:name="O_1180327"/>
      <w:bookmarkEnd w:id="14"/>
      <w:r w:rsidRPr="00AF1065">
        <w:t>Assessment Conditions</w:t>
      </w:r>
    </w:p>
    <w:tbl>
      <w:tblPr>
        <w:tblW w:w="9497" w:type="dxa"/>
        <w:tblLayout w:type="fixed"/>
        <w:tblCellMar>
          <w:left w:w="62" w:type="dxa"/>
          <w:right w:w="62" w:type="dxa"/>
        </w:tblCellMar>
        <w:tblLook w:val="0000"/>
      </w:tblPr>
      <w:tblGrid>
        <w:gridCol w:w="9497"/>
      </w:tblGrid>
      <w:tr w:rsidTr="00AF10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65" w:rsidP="00AF1065">
            <w:pPr>
              <w:pStyle w:val="BodyText"/>
            </w:pPr>
            <w:r w:rsidRPr="00AF1065">
              <w:t>Assessors must hold credentials specified within the Standards for Registered Training Organisations current at the time of assessment.</w:t>
            </w:r>
          </w:p>
          <w:p w:rsidR="00000000" w:rsidRPr="00AF1065" w:rsidP="00AF1065">
            <w:pPr>
              <w:pStyle w:val="BodyText"/>
            </w:pPr>
            <w:r w:rsidRPr="00AF1065">
              <w:t>Assessment must satisfy the Princip</w:t>
            </w:r>
            <w:r w:rsidRPr="00AF1065">
              <w:t>les of Assessment and Rules of Evidence and all regulatory requirements included within the Standards for Registered Training Organisations current at the time of assessment.</w:t>
            </w:r>
          </w:p>
          <w:p w:rsidR="00000000" w:rsidRPr="00AF1065" w:rsidP="00AF1065">
            <w:pPr>
              <w:pStyle w:val="BodyText"/>
            </w:pPr>
            <w:r w:rsidRPr="00AF1065">
              <w:t>Assessment must occur in workplace operational situations where it is appropriate</w:t>
            </w:r>
            <w:r w:rsidRPr="00AF1065">
              <w:t xml:space="preserve"> to do so; where this is not appropriate, assessment must occur in simulated conditions involving realistic and authentic activities that replicate operational workplace conditions.</w:t>
            </w:r>
          </w:p>
          <w:p w:rsidR="00000000" w:rsidRPr="00AF1065" w:rsidP="00AF1065">
            <w:pPr>
              <w:pStyle w:val="BodyText"/>
            </w:pPr>
            <w:r w:rsidRPr="00AF1065">
              <w:t>Assessment processes and techniques must be appropriate to the language, l</w:t>
            </w:r>
            <w:r w:rsidRPr="00AF1065">
              <w:t>iteracy and numeracy requirements of the work being performed and the needs of the candidate.</w:t>
            </w:r>
          </w:p>
          <w:p w:rsidR="00000000" w:rsidRPr="00AF1065" w:rsidP="00AF1065">
            <w:pPr>
              <w:pStyle w:val="BodyText"/>
            </w:pPr>
            <w:r w:rsidRPr="00AF1065">
              <w:t>Resources for assessment must include access to:</w:t>
            </w:r>
          </w:p>
          <w:p w:rsidR="00000000" w:rsidRPr="00AF1065" w:rsidP="00AF1065">
            <w:pPr>
              <w:pStyle w:val="ListBullet"/>
            </w:pPr>
            <w:r w:rsidRPr="00AF1065">
              <w:t>a range of relevant exercises, case studies and/or other simulations</w:t>
            </w:r>
          </w:p>
          <w:p w:rsidR="00000000" w:rsidRPr="00AF1065" w:rsidP="00AF1065">
            <w:pPr>
              <w:pStyle w:val="ListBullet"/>
            </w:pPr>
            <w:r w:rsidRPr="00AF1065">
              <w:t>relevant and appropriate materials, tools, equipment and PPE currently used in industry</w:t>
            </w:r>
          </w:p>
          <w:p w:rsidR="00000000" w:rsidRPr="00AF1065" w:rsidP="00AF1065">
            <w:pPr>
              <w:pStyle w:val="ListBullet"/>
            </w:pPr>
            <w:r w:rsidRPr="00AF1065">
              <w:t>applicable documentation, including workplace procedures, equipment specifications, regulations, codes of practice and operation manuals.</w:t>
            </w:r>
          </w:p>
        </w:tc>
      </w:tr>
    </w:tbl>
    <w:p w:rsidR="00000000" w:rsidRPr="00AF1065" w:rsidP="00AF1065">
      <w:pPr>
        <w:pStyle w:val="NoPaddingFontSize1"/>
      </w:pPr>
    </w:p>
    <w:p w:rsidR="00000000" w:rsidRPr="00AF1065" w:rsidP="00AF1065">
      <w:pPr>
        <w:pStyle w:val="AllowPageBreak"/>
      </w:pPr>
    </w:p>
    <w:p w:rsidR="00000000" w:rsidRPr="00AF1065" w:rsidP="00AF1065">
      <w:pPr>
        <w:pStyle w:val="Heading1"/>
      </w:pPr>
      <w:bookmarkStart w:id="15" w:name="O_1180330"/>
      <w:bookmarkEnd w:id="15"/>
      <w:r w:rsidRPr="00AF1065">
        <w:t>Links</w:t>
      </w:r>
    </w:p>
    <w:p w:rsidR="00000000" w:rsidRPr="00AF1065" w:rsidP="00B955B5">
      <w:pPr>
        <w:pStyle w:val="BodyText"/>
      </w:pPr>
      <w:r w:rsidRPr="00AF1065">
        <w:t>Com</w:t>
      </w:r>
      <w:r w:rsidRPr="00AF1065">
        <w:t xml:space="preserve">panion Volume Implementation Guides are found in VETNet - </w:t>
      </w:r>
      <w:r>
        <w:fldChar w:fldCharType="begin"/>
      </w:r>
      <w:r>
        <w:instrText xml:space="preserve"> HYPERLINK "https://vetnet.gov.au/Pages/TrainingDocs.aspx?q=229bace1-b7bc-4653-9300-dffb13ecfad7" </w:instrText>
      </w:r>
      <w:r>
        <w:fldChar w:fldCharType="separate"/>
      </w:r>
      <w:r w:rsidRPr="00A41D3E">
        <w:rPr>
          <w:rStyle w:val="Hyperlink"/>
        </w:rPr>
        <w:t>https://vetnet.gov.au/Pages/TrainingDocs.aspx?q=229bace1-b7bc-4653-9300-dffb13ecfad7</w:t>
      </w:r>
      <w:r>
        <w:fldChar w:fldCharType="end"/>
      </w:r>
    </w:p>
    <w:p w:rsidR="00000000" w:rsidRPr="00AF1065" w:rsidP="00AF1065"/>
    <w:sectPr w:rsidSect="00AF10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rsidRPr="00B955B5" w:rsidP="00B95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B5" w:rsidP="00AF1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55B5" w:rsidP="00AF10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55B5" w:rsidP="00AF10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rsidP="00AF1065">
    <w:pPr>
      <w:pStyle w:val="Footer"/>
      <w:framePr w:wrap="around"/>
    </w:pPr>
    <w:r>
      <w:fldChar w:fldCharType="begin"/>
    </w:r>
    <w:r>
      <w:instrText xml:space="preserve"> DOCPROPERTY  Subject  \* MERGEFORMAT </w:instrText>
    </w:r>
    <w:r>
      <w:fldChar w:fldCharType="separate"/>
    </w:r>
    <w:r w:rsidR="00B955B5">
      <w:t>Approved</w:t>
    </w:r>
    <w:r w:rsidR="00B955B5">
      <w:fldChar w:fldCharType="end"/>
    </w:r>
    <w:r>
      <w:tab/>
      <w:t xml:space="preserve">Page </w:t>
    </w:r>
    <w:r>
      <w:fldChar w:fldCharType="begin"/>
    </w:r>
    <w:r>
      <w:instrText xml:space="preserve"> PAGE  \* Arabic  \* MERGEFORMAT </w:instrText>
    </w:r>
    <w:r>
      <w:fldChar w:fldCharType="separate"/>
    </w:r>
    <w:r w:rsidR="00B955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5B5">
      <w:rPr>
        <w:noProof/>
      </w:rPr>
      <w:t>6</w:t>
    </w:r>
    <w:r>
      <w:rPr>
        <w:noProof/>
      </w:rPr>
      <w:fldChar w:fldCharType="end"/>
    </w:r>
  </w:p>
  <w:p w:rsidR="00AF1065" w:rsidP="00AF1065">
    <w:pPr>
      <w:pStyle w:val="Footer"/>
      <w:framePr w:wrap="around"/>
    </w:pPr>
    <w:r>
      <w:t xml:space="preserve">© Commonwealth of Australia, </w:t>
    </w:r>
    <w:r>
      <w:fldChar w:fldCharType="begin"/>
    </w:r>
    <w:r>
      <w:instrText xml:space="preserve"> DATE  \@ "yyyy"  \* MERGEFORMAT </w:instrText>
    </w:r>
    <w:r>
      <w:fldChar w:fldCharType="separate"/>
    </w:r>
    <w:r w:rsidR="00B955B5">
      <w:rPr>
        <w:noProof/>
      </w:rPr>
      <w:t>2025</w:t>
    </w:r>
    <w:r>
      <w:fldChar w:fldCharType="end"/>
    </w:r>
    <w:r>
      <w:tab/>
    </w:r>
    <w:r>
      <w:fldChar w:fldCharType="begin"/>
    </w:r>
    <w:r>
      <w:instrText xml:space="preserve"> DOCPROPERTY  Author  \* MERGEFORMAT </w:instrText>
    </w:r>
    <w:r>
      <w:fldChar w:fldCharType="separate"/>
    </w:r>
    <w:r w:rsidR="00B955B5">
      <w:t>Powering Skills Organisation</w:t>
    </w:r>
    <w:r w:rsidR="00B955B5">
      <w:fldChar w:fldCharType="end"/>
    </w:r>
  </w:p>
  <w:p w:rsidR="00AF1065" w:rsidP="00AF1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065" w:rsidRPr="00B955B5" w:rsidP="00B95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B5" w:rsidRPr="002D2AF8" w:rsidP="00AF1065">
    <w:pPr>
      <w:pStyle w:val="Header"/>
      <w:framePr w:wrap="around"/>
    </w:pPr>
    <w:r>
      <w:fldChar w:fldCharType="begin"/>
    </w:r>
    <w:r>
      <w:instrText xml:space="preserve"> TITLE   \* MERGEFORMAT </w:instrText>
    </w:r>
    <w:r>
      <w:fldChar w:fldCharType="separate"/>
    </w:r>
    <w:r>
      <w:t>UETDRTO003 Establish and reinstate a power systems transmission 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55B5" w:rsidP="00AF10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65" w:rsidRPr="002D2AF8" w:rsidP="00AF1065">
    <w:pPr>
      <w:pStyle w:val="Header"/>
      <w:framePr w:wrap="around"/>
    </w:pPr>
    <w:r>
      <w:fldChar w:fldCharType="begin"/>
    </w:r>
    <w:r>
      <w:instrText xml:space="preserve"> TITLE   \* MERGEFORMAT </w:instrText>
    </w:r>
    <w:r>
      <w:fldChar w:fldCharType="separate"/>
    </w:r>
    <w:r w:rsidR="00B955B5">
      <w:t>UETDRTO003 Establish and reinstate a power systems transmission structure work site</w:t>
    </w:r>
    <w:r w:rsidR="00B955B5">
      <w:fldChar w:fldCharType="end"/>
    </w:r>
    <w:r>
      <w:tab/>
      <w:t xml:space="preserve">Date this document was generated: </w:t>
    </w:r>
    <w:r>
      <w:fldChar w:fldCharType="begin"/>
    </w:r>
    <w:r>
      <w:instrText xml:space="preserve"> CREATEDATE  \@ "d MMMM yyyy"  \* MERGEFORMAT </w:instrText>
    </w:r>
    <w:r>
      <w:fldChar w:fldCharType="separate"/>
    </w:r>
    <w:r w:rsidR="00B955B5">
      <w:rPr>
        <w:noProof/>
      </w:rPr>
      <w:t>2 March 2025</w:t>
    </w:r>
    <w:r>
      <w:fldChar w:fldCharType="end"/>
    </w:r>
  </w:p>
  <w:p w:rsidR="00AF1065" w:rsidP="00AF1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EA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23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A9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065"/>
    <w:pPr>
      <w:spacing w:before="360" w:after="60"/>
      <w:outlineLvl w:val="0"/>
    </w:pPr>
    <w:rPr>
      <w:sz w:val="32"/>
    </w:rPr>
  </w:style>
  <w:style w:type="paragraph" w:styleId="Heading2">
    <w:name w:val="heading 2"/>
    <w:basedOn w:val="HeadingBase"/>
    <w:next w:val="BodyText"/>
    <w:link w:val="Heading2Char"/>
    <w:qFormat/>
    <w:rsid w:val="00AF1065"/>
    <w:pPr>
      <w:keepLines/>
      <w:spacing w:before="240" w:after="120"/>
      <w:outlineLvl w:val="1"/>
    </w:pPr>
    <w:rPr>
      <w:sz w:val="28"/>
      <w:szCs w:val="40"/>
    </w:rPr>
  </w:style>
  <w:style w:type="paragraph" w:styleId="Heading3">
    <w:name w:val="heading 3"/>
    <w:basedOn w:val="HeadingBase"/>
    <w:next w:val="BodyText"/>
    <w:link w:val="Heading3Char"/>
    <w:qFormat/>
    <w:rsid w:val="00AF1065"/>
    <w:pPr>
      <w:spacing w:before="180" w:after="120"/>
      <w:outlineLvl w:val="2"/>
    </w:pPr>
    <w:rPr>
      <w:spacing w:val="-10"/>
      <w:kern w:val="32"/>
    </w:rPr>
  </w:style>
  <w:style w:type="paragraph" w:styleId="Heading4">
    <w:name w:val="heading 4"/>
    <w:basedOn w:val="HeadingBase"/>
    <w:next w:val="BodyText"/>
    <w:link w:val="Heading4Char"/>
    <w:qFormat/>
    <w:rsid w:val="00AF1065"/>
    <w:pPr>
      <w:spacing w:before="160" w:after="120"/>
      <w:outlineLvl w:val="3"/>
    </w:pPr>
    <w:rPr>
      <w:sz w:val="22"/>
    </w:rPr>
  </w:style>
  <w:style w:type="paragraph" w:styleId="Heading5">
    <w:name w:val="heading 5"/>
    <w:basedOn w:val="HeadingBase"/>
    <w:next w:val="Normal"/>
    <w:link w:val="Heading5Char"/>
    <w:qFormat/>
    <w:rsid w:val="00AF1065"/>
    <w:pPr>
      <w:spacing w:before="80"/>
      <w:outlineLvl w:val="4"/>
    </w:pPr>
    <w:rPr>
      <w:color w:val="918585"/>
      <w:sz w:val="20"/>
    </w:rPr>
  </w:style>
  <w:style w:type="paragraph" w:styleId="Heading6">
    <w:name w:val="heading 6"/>
    <w:basedOn w:val="HeadingBase"/>
    <w:next w:val="Normal"/>
    <w:link w:val="Heading6Char"/>
    <w:qFormat/>
    <w:rsid w:val="00AF1065"/>
    <w:pPr>
      <w:spacing w:before="60"/>
      <w:outlineLvl w:val="5"/>
    </w:pPr>
    <w:rPr>
      <w:color w:val="918585"/>
      <w:sz w:val="20"/>
    </w:rPr>
  </w:style>
  <w:style w:type="paragraph" w:styleId="Heading7">
    <w:name w:val="heading 7"/>
    <w:basedOn w:val="Normal"/>
    <w:next w:val="Normal"/>
    <w:link w:val="Heading7Char"/>
    <w:qFormat/>
    <w:rsid w:val="00AF1065"/>
    <w:pPr>
      <w:ind w:left="720"/>
      <w:outlineLvl w:val="6"/>
    </w:pPr>
    <w:rPr>
      <w:i/>
    </w:rPr>
  </w:style>
  <w:style w:type="paragraph" w:styleId="Heading8">
    <w:name w:val="heading 8"/>
    <w:basedOn w:val="Normal"/>
    <w:next w:val="Normal"/>
    <w:link w:val="Heading8Char"/>
    <w:qFormat/>
    <w:rsid w:val="00AF1065"/>
    <w:pPr>
      <w:ind w:left="720"/>
      <w:outlineLvl w:val="7"/>
    </w:pPr>
    <w:rPr>
      <w:i/>
    </w:rPr>
  </w:style>
  <w:style w:type="paragraph" w:styleId="Heading9">
    <w:name w:val="heading 9"/>
    <w:basedOn w:val="Normal"/>
    <w:next w:val="Normal"/>
    <w:link w:val="Heading9Char"/>
    <w:qFormat/>
    <w:rsid w:val="00AF1065"/>
    <w:pPr>
      <w:ind w:left="720"/>
      <w:outlineLvl w:val="8"/>
    </w:pPr>
    <w:rPr>
      <w:i/>
    </w:rPr>
  </w:style>
  <w:style w:type="character" w:default="1" w:styleId="DefaultParagraphFont">
    <w:name w:val="Default Paragraph Font"/>
    <w:uiPriority w:val="1"/>
    <w:unhideWhenUsed/>
    <w:rsid w:val="00AF1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065"/>
  </w:style>
  <w:style w:type="character" w:customStyle="1" w:styleId="Heading1Char">
    <w:name w:val="Heading 1 Char"/>
    <w:basedOn w:val="DefaultParagraphFont"/>
    <w:link w:val="Heading1"/>
    <w:rsid w:val="00AF1065"/>
    <w:rPr>
      <w:rFonts w:ascii="Times New Roman" w:eastAsia="Times New Roman" w:hAnsi="Times New Roman" w:cs="Times New Roman"/>
      <w:b/>
      <w:sz w:val="32"/>
      <w:szCs w:val="20"/>
      <w:lang w:eastAsia="en-US"/>
    </w:rPr>
  </w:style>
  <w:style w:type="paragraph" w:styleId="BodyText">
    <w:name w:val="Body Text"/>
    <w:basedOn w:val="Normal"/>
    <w:link w:val="BodyTextChar"/>
    <w:rsid w:val="00AF1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065"/>
    <w:rPr>
      <w:rFonts w:ascii="Times New Roman" w:eastAsia="Times New Roman" w:hAnsi="Times New Roman" w:cs="Times New Roman"/>
      <w:sz w:val="24"/>
      <w:lang w:eastAsia="en-US"/>
    </w:rPr>
  </w:style>
  <w:style w:type="paragraph" w:styleId="ListBullet">
    <w:name w:val="List Bullet"/>
    <w:basedOn w:val="List"/>
    <w:rsid w:val="00AF1065"/>
    <w:pPr>
      <w:numPr>
        <w:numId w:val="12"/>
      </w:numPr>
      <w:tabs>
        <w:tab w:val="clear" w:pos="340"/>
      </w:tabs>
      <w:spacing w:before="40" w:after="40"/>
    </w:pPr>
  </w:style>
  <w:style w:type="character" w:customStyle="1" w:styleId="SpecialBold">
    <w:name w:val="Special Bold"/>
    <w:basedOn w:val="DefaultParagraphFont"/>
    <w:rsid w:val="00AF1065"/>
    <w:rPr>
      <w:b/>
      <w:spacing w:val="0"/>
    </w:rPr>
  </w:style>
  <w:style w:type="paragraph" w:styleId="ListBullet2">
    <w:name w:val="List Bullet 2"/>
    <w:basedOn w:val="List2"/>
    <w:rsid w:val="00AF1065"/>
    <w:pPr>
      <w:numPr>
        <w:numId w:val="13"/>
      </w:numPr>
      <w:tabs>
        <w:tab w:val="clear" w:pos="680"/>
      </w:tabs>
    </w:pPr>
  </w:style>
  <w:style w:type="paragraph" w:customStyle="1" w:styleId="SuperHeading">
    <w:name w:val="SuperHeading"/>
    <w:basedOn w:val="Normal"/>
    <w:rsid w:val="00AF1065"/>
    <w:pPr>
      <w:spacing w:before="240" w:after="120"/>
      <w:outlineLvl w:val="0"/>
    </w:pPr>
    <w:rPr>
      <w:rFonts w:ascii="Times New Roman" w:hAnsi="Times New Roman"/>
      <w:b/>
      <w:sz w:val="32"/>
    </w:rPr>
  </w:style>
  <w:style w:type="paragraph" w:customStyle="1" w:styleId="AllowPageBreak">
    <w:name w:val="AllowPageBreak"/>
    <w:rsid w:val="00AF10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065"/>
    <w:rPr>
      <w:rFonts w:ascii="Courier New" w:eastAsia="Times New Roman" w:hAnsi="Courier New" w:cs="Times New Roman"/>
      <w:i/>
      <w:szCs w:val="20"/>
      <w:lang w:eastAsia="en-US"/>
    </w:rPr>
  </w:style>
  <w:style w:type="paragraph" w:customStyle="1" w:styleId="HeadingBase">
    <w:name w:val="Heading Base"/>
    <w:rsid w:val="00AF1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065"/>
    <w:pPr>
      <w:tabs>
        <w:tab w:val="right" w:leader="dot" w:pos="9072"/>
      </w:tabs>
      <w:ind w:left="567"/>
    </w:pPr>
    <w:rPr>
      <w:szCs w:val="22"/>
    </w:rPr>
  </w:style>
  <w:style w:type="paragraph" w:customStyle="1" w:styleId="TOCBase">
    <w:name w:val="TOC Base"/>
    <w:rsid w:val="00AF1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065"/>
    <w:pPr>
      <w:tabs>
        <w:tab w:val="right" w:leader="dot" w:pos="9072"/>
      </w:tabs>
      <w:spacing w:before="40" w:after="40"/>
      <w:ind w:left="284"/>
    </w:pPr>
    <w:rPr>
      <w:rFonts w:ascii="Times New Roman" w:hAnsi="Times New Roman"/>
    </w:rPr>
  </w:style>
  <w:style w:type="paragraph" w:styleId="TOC1">
    <w:name w:val="toc 1"/>
    <w:basedOn w:val="TOCBase"/>
    <w:next w:val="Normal"/>
    <w:rsid w:val="00AF1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065"/>
    <w:rPr>
      <w:rFonts w:ascii="Times New Roman" w:eastAsia="Times New Roman" w:hAnsi="Times New Roman" w:cs="Times New Roman"/>
      <w:sz w:val="16"/>
      <w:lang w:eastAsia="en-US"/>
    </w:rPr>
  </w:style>
  <w:style w:type="paragraph" w:styleId="Title">
    <w:name w:val="Title"/>
    <w:basedOn w:val="HeadingBase"/>
    <w:link w:val="TitleChar"/>
    <w:qFormat/>
    <w:rsid w:val="00AF1065"/>
    <w:pPr>
      <w:spacing w:before="5040"/>
      <w:jc w:val="center"/>
    </w:pPr>
    <w:rPr>
      <w:sz w:val="48"/>
      <w:szCs w:val="72"/>
      <w:lang w:val="en-US"/>
    </w:rPr>
  </w:style>
  <w:style w:type="character" w:customStyle="1" w:styleId="TitleChar">
    <w:name w:val="Title Char"/>
    <w:basedOn w:val="DefaultParagraphFont"/>
    <w:link w:val="Title"/>
    <w:rsid w:val="00AF1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065"/>
    <w:pPr>
      <w:tabs>
        <w:tab w:val="left" w:pos="3600"/>
        <w:tab w:val="left" w:pos="3958"/>
      </w:tabs>
    </w:pPr>
  </w:style>
  <w:style w:type="paragraph" w:styleId="List">
    <w:name w:val="List"/>
    <w:basedOn w:val="BodyText"/>
    <w:next w:val="BodyText"/>
    <w:rsid w:val="00AF1065"/>
    <w:pPr>
      <w:tabs>
        <w:tab w:val="left" w:pos="340"/>
      </w:tabs>
      <w:spacing w:before="60" w:after="60"/>
      <w:ind w:left="340" w:hanging="340"/>
    </w:pPr>
  </w:style>
  <w:style w:type="paragraph" w:customStyle="1" w:styleId="Note">
    <w:name w:val="Note"/>
    <w:basedOn w:val="BodyText"/>
    <w:rsid w:val="00AF1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065"/>
    <w:pPr>
      <w:framePr w:wrap="auto" w:hAnchor="text" w:y="6049"/>
    </w:pPr>
    <w:rPr>
      <w:color w:val="000000"/>
      <w:sz w:val="40"/>
    </w:rPr>
  </w:style>
  <w:style w:type="paragraph" w:customStyle="1" w:styleId="TOCTitle">
    <w:name w:val="TOCTitle"/>
    <w:basedOn w:val="Heading1"/>
    <w:rsid w:val="00AF1065"/>
    <w:pPr>
      <w:spacing w:after="240"/>
      <w:jc w:val="center"/>
      <w:outlineLvl w:val="9"/>
    </w:pPr>
    <w:rPr>
      <w:caps/>
    </w:rPr>
  </w:style>
  <w:style w:type="paragraph" w:customStyle="1" w:styleId="Version">
    <w:name w:val="Version"/>
    <w:rsid w:val="00AF1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065"/>
    <w:pPr>
      <w:keepNext w:val="0"/>
      <w:tabs>
        <w:tab w:val="right" w:pos="4176"/>
      </w:tabs>
      <w:ind w:left="198" w:hanging="198"/>
    </w:pPr>
    <w:rPr>
      <w:rFonts w:ascii="Garamond" w:hAnsi="Garamond"/>
    </w:rPr>
  </w:style>
  <w:style w:type="paragraph" w:styleId="IndexHeading">
    <w:name w:val="index heading"/>
    <w:basedOn w:val="Normal"/>
    <w:next w:val="Index1"/>
    <w:semiHidden/>
    <w:rsid w:val="00AF1065"/>
    <w:pPr>
      <w:spacing w:before="120" w:after="120"/>
    </w:pPr>
    <w:rPr>
      <w:rFonts w:ascii="Arial" w:hAnsi="Arial"/>
      <w:b/>
      <w:color w:val="918585"/>
      <w:sz w:val="24"/>
    </w:rPr>
  </w:style>
  <w:style w:type="paragraph" w:styleId="Header">
    <w:name w:val="header"/>
    <w:basedOn w:val="Normal"/>
    <w:link w:val="HeaderChar"/>
    <w:rsid w:val="00AF1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065"/>
    <w:rPr>
      <w:rFonts w:ascii="Times New Roman" w:eastAsia="Times New Roman" w:hAnsi="Times New Roman" w:cs="Times New Roman"/>
      <w:sz w:val="16"/>
      <w:szCs w:val="20"/>
      <w:lang w:val="en-GB" w:eastAsia="en-US"/>
    </w:rPr>
  </w:style>
  <w:style w:type="paragraph" w:customStyle="1" w:styleId="Chapter">
    <w:name w:val="Chapter"/>
    <w:basedOn w:val="Normal"/>
    <w:rsid w:val="00AF1065"/>
    <w:pPr>
      <w:spacing w:before="240"/>
    </w:pPr>
    <w:rPr>
      <w:rFonts w:ascii="Times New Roman" w:hAnsi="Times New Roman"/>
      <w:smallCaps/>
      <w:spacing w:val="80"/>
      <w:sz w:val="28"/>
    </w:rPr>
  </w:style>
  <w:style w:type="paragraph" w:customStyle="1" w:styleId="InChapter">
    <w:name w:val="InChapter"/>
    <w:basedOn w:val="Heading3"/>
    <w:rsid w:val="00AF1065"/>
    <w:pPr>
      <w:spacing w:after="240"/>
      <w:outlineLvl w:val="9"/>
    </w:pPr>
    <w:rPr>
      <w:noProof/>
    </w:rPr>
  </w:style>
  <w:style w:type="paragraph" w:styleId="Index2">
    <w:name w:val="index 2"/>
    <w:basedOn w:val="Normal"/>
    <w:next w:val="Normal"/>
    <w:semiHidden/>
    <w:rsid w:val="00AF1065"/>
    <w:pPr>
      <w:tabs>
        <w:tab w:val="right" w:pos="4176"/>
      </w:tabs>
      <w:ind w:left="568" w:hanging="284"/>
    </w:pPr>
    <w:rPr>
      <w:rFonts w:ascii="Garamond" w:hAnsi="Garamond"/>
    </w:rPr>
  </w:style>
  <w:style w:type="paragraph" w:customStyle="1" w:styleId="Byline">
    <w:name w:val="Byline"/>
    <w:rsid w:val="00AF1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065"/>
    <w:pPr>
      <w:tabs>
        <w:tab w:val="clear" w:pos="3600"/>
        <w:tab w:val="clear" w:pos="3958"/>
      </w:tabs>
      <w:jc w:val="right"/>
    </w:pPr>
  </w:style>
  <w:style w:type="character" w:styleId="Emphasis">
    <w:name w:val="Emphasis"/>
    <w:basedOn w:val="DefaultParagraphFont"/>
    <w:qFormat/>
    <w:rsid w:val="00AF1065"/>
    <w:rPr>
      <w:i/>
    </w:rPr>
  </w:style>
  <w:style w:type="paragraph" w:styleId="Caption">
    <w:name w:val="caption"/>
    <w:basedOn w:val="BodyText"/>
    <w:next w:val="Normal"/>
    <w:qFormat/>
    <w:rsid w:val="00AF1065"/>
    <w:pPr>
      <w:framePr w:w="2268" w:hSpace="181" w:vSpace="181" w:wrap="around" w:vAnchor="text" w:hAnchor="page" w:x="1135" w:y="285" w:anchorLock="1"/>
    </w:pPr>
    <w:rPr>
      <w:i/>
    </w:rPr>
  </w:style>
  <w:style w:type="paragraph" w:customStyle="1" w:styleId="MiniTOCTitle">
    <w:name w:val="MiniTOCTitle"/>
    <w:basedOn w:val="Heading4"/>
    <w:rsid w:val="00AF1065"/>
    <w:pPr>
      <w:spacing w:before="240"/>
      <w:outlineLvl w:val="9"/>
    </w:pPr>
    <w:rPr>
      <w:noProof/>
      <w:sz w:val="24"/>
    </w:rPr>
  </w:style>
  <w:style w:type="paragraph" w:customStyle="1" w:styleId="MiniTOCItem">
    <w:name w:val="MiniTOCItem"/>
    <w:basedOn w:val="ListBullet"/>
    <w:rsid w:val="00AF1065"/>
    <w:pPr>
      <w:numPr>
        <w:numId w:val="0"/>
      </w:numPr>
      <w:tabs>
        <w:tab w:val="right" w:leader="dot" w:pos="6521"/>
      </w:tabs>
      <w:spacing w:before="0" w:after="0"/>
    </w:pPr>
  </w:style>
  <w:style w:type="paragraph" w:customStyle="1" w:styleId="TOFTitle">
    <w:name w:val="TOFTitle"/>
    <w:basedOn w:val="TOCTitle"/>
    <w:rsid w:val="00AF1065"/>
  </w:style>
  <w:style w:type="paragraph" w:styleId="TableofFigures">
    <w:name w:val="table of figures"/>
    <w:basedOn w:val="Normal"/>
    <w:next w:val="Normal"/>
    <w:semiHidden/>
    <w:rsid w:val="00AF1065"/>
    <w:pPr>
      <w:tabs>
        <w:tab w:val="right" w:leader="dot" w:pos="9072"/>
      </w:tabs>
      <w:ind w:left="970" w:hanging="403"/>
    </w:pPr>
    <w:rPr>
      <w:rFonts w:ascii="Times New Roman" w:hAnsi="Times New Roman"/>
      <w:b/>
    </w:rPr>
  </w:style>
  <w:style w:type="paragraph" w:styleId="ListNumber">
    <w:name w:val="List Number"/>
    <w:basedOn w:val="List"/>
    <w:rsid w:val="00AF1065"/>
    <w:pPr>
      <w:numPr>
        <w:numId w:val="15"/>
      </w:numPr>
      <w:tabs>
        <w:tab w:val="clear" w:pos="340"/>
      </w:tabs>
    </w:pPr>
  </w:style>
  <w:style w:type="character" w:customStyle="1" w:styleId="WingdingSymbols">
    <w:name w:val="Wingding Symbols"/>
    <w:rsid w:val="00AF1065"/>
    <w:rPr>
      <w:rFonts w:ascii="Wingdings" w:hAnsi="Wingdings"/>
    </w:rPr>
  </w:style>
  <w:style w:type="paragraph" w:customStyle="1" w:styleId="TableHeading">
    <w:name w:val="Table Heading"/>
    <w:basedOn w:val="HeadingBase"/>
    <w:rsid w:val="00AF1065"/>
    <w:pPr>
      <w:keepLines/>
      <w:pBdr>
        <w:bottom w:val="single" w:sz="6" w:space="1" w:color="918585"/>
      </w:pBdr>
      <w:spacing w:before="240"/>
    </w:pPr>
  </w:style>
  <w:style w:type="character" w:customStyle="1" w:styleId="HotSpot">
    <w:name w:val="HotSpot"/>
    <w:rsid w:val="00AF1065"/>
    <w:rPr>
      <w:color w:val="0033CC"/>
      <w:u w:val="none"/>
    </w:rPr>
  </w:style>
  <w:style w:type="paragraph" w:customStyle="1" w:styleId="BodyTextRight">
    <w:name w:val="Body Text Right"/>
    <w:basedOn w:val="BodyText"/>
    <w:rsid w:val="00AF1065"/>
    <w:pPr>
      <w:spacing w:before="0" w:after="0"/>
      <w:jc w:val="right"/>
    </w:pPr>
  </w:style>
  <w:style w:type="paragraph" w:styleId="Index3">
    <w:name w:val="index 3"/>
    <w:basedOn w:val="ListNumber2"/>
    <w:next w:val="Normal"/>
    <w:semiHidden/>
    <w:rsid w:val="00AF1065"/>
    <w:pPr>
      <w:numPr>
        <w:numId w:val="0"/>
      </w:numPr>
      <w:tabs>
        <w:tab w:val="right" w:leader="dot" w:pos="4176"/>
      </w:tabs>
    </w:pPr>
  </w:style>
  <w:style w:type="paragraph" w:styleId="ListNumber2">
    <w:name w:val="List Number 2"/>
    <w:basedOn w:val="List2"/>
    <w:rsid w:val="00AF1065"/>
    <w:pPr>
      <w:numPr>
        <w:numId w:val="10"/>
      </w:numPr>
      <w:tabs>
        <w:tab w:val="clear" w:pos="1060"/>
      </w:tabs>
    </w:pPr>
  </w:style>
  <w:style w:type="paragraph" w:customStyle="1" w:styleId="MarginNote">
    <w:name w:val="Margin Note"/>
    <w:basedOn w:val="BodyText"/>
    <w:rsid w:val="00AF1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065"/>
    <w:rPr>
      <w:sz w:val="32"/>
    </w:rPr>
  </w:style>
  <w:style w:type="paragraph" w:customStyle="1" w:styleId="HeadingProcedure">
    <w:name w:val="Heading Procedure"/>
    <w:basedOn w:val="HeadingBase"/>
    <w:next w:val="Normal"/>
    <w:rsid w:val="00AF1065"/>
    <w:pPr>
      <w:tabs>
        <w:tab w:val="left" w:pos="0"/>
      </w:tabs>
      <w:spacing w:before="120" w:after="60"/>
    </w:pPr>
    <w:rPr>
      <w:i/>
      <w:color w:val="918585"/>
      <w:sz w:val="22"/>
    </w:rPr>
  </w:style>
  <w:style w:type="paragraph" w:customStyle="1" w:styleId="TableBodyText">
    <w:name w:val="Table Body Text"/>
    <w:basedOn w:val="BodyText"/>
    <w:rsid w:val="00AF1065"/>
    <w:pPr>
      <w:spacing w:before="60" w:after="60"/>
    </w:pPr>
  </w:style>
  <w:style w:type="paragraph" w:styleId="ListContinue">
    <w:name w:val="List Continue"/>
    <w:basedOn w:val="List"/>
    <w:rsid w:val="00AF1065"/>
    <w:pPr>
      <w:ind w:firstLine="0"/>
    </w:pPr>
  </w:style>
  <w:style w:type="paragraph" w:customStyle="1" w:styleId="ListNote">
    <w:name w:val="List Note"/>
    <w:basedOn w:val="List"/>
    <w:rsid w:val="00AF1065"/>
    <w:pPr>
      <w:pBdr>
        <w:top w:val="single" w:sz="6" w:space="2" w:color="918585"/>
        <w:bottom w:val="single" w:sz="6" w:space="2" w:color="918585"/>
      </w:pBdr>
      <w:tabs>
        <w:tab w:val="left" w:pos="1021"/>
      </w:tabs>
      <w:ind w:firstLine="0"/>
    </w:pPr>
  </w:style>
  <w:style w:type="paragraph" w:customStyle="1" w:styleId="Warning">
    <w:name w:val="Warning"/>
    <w:basedOn w:val="BodyText"/>
    <w:rsid w:val="00AF1065"/>
    <w:pPr>
      <w:shd w:val="clear" w:color="auto" w:fill="D9D9D9"/>
      <w:tabs>
        <w:tab w:val="left" w:pos="992"/>
      </w:tabs>
      <w:ind w:left="119" w:right="119"/>
    </w:pPr>
    <w:rPr>
      <w:sz w:val="20"/>
    </w:rPr>
  </w:style>
  <w:style w:type="paragraph" w:customStyle="1" w:styleId="MarginIcons">
    <w:name w:val="Margin Icons"/>
    <w:basedOn w:val="BodyText"/>
    <w:rsid w:val="00AF1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065"/>
    <w:rPr>
      <w:rFonts w:ascii="Courier New" w:hAnsi="Courier New"/>
    </w:rPr>
  </w:style>
  <w:style w:type="paragraph" w:customStyle="1" w:styleId="NoteBullet">
    <w:name w:val="Note Bullet"/>
    <w:basedOn w:val="Note"/>
    <w:rsid w:val="00AF1065"/>
    <w:pPr>
      <w:tabs>
        <w:tab w:val="clear" w:pos="680"/>
      </w:tabs>
      <w:spacing w:before="60" w:after="60"/>
    </w:pPr>
  </w:style>
  <w:style w:type="paragraph" w:customStyle="1" w:styleId="SubHeading2">
    <w:name w:val="SubHeading2"/>
    <w:basedOn w:val="HeadingBase"/>
    <w:rsid w:val="00AF1065"/>
    <w:pPr>
      <w:spacing w:before="240" w:after="60"/>
    </w:pPr>
    <w:rPr>
      <w:sz w:val="20"/>
    </w:rPr>
  </w:style>
  <w:style w:type="paragraph" w:customStyle="1" w:styleId="SubHeading1">
    <w:name w:val="SubHeading1"/>
    <w:basedOn w:val="HeadingBase"/>
    <w:rsid w:val="00AF1065"/>
    <w:pPr>
      <w:spacing w:before="240" w:after="60"/>
    </w:pPr>
    <w:rPr>
      <w:color w:val="918585"/>
      <w:sz w:val="22"/>
    </w:rPr>
  </w:style>
  <w:style w:type="paragraph" w:customStyle="1" w:styleId="SideHeading">
    <w:name w:val="Side Heading"/>
    <w:basedOn w:val="HeadingBase"/>
    <w:rsid w:val="00AF1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065"/>
    <w:pPr>
      <w:tabs>
        <w:tab w:val="num" w:pos="360"/>
      </w:tabs>
    </w:pPr>
  </w:style>
  <w:style w:type="paragraph" w:styleId="PlainText">
    <w:name w:val="Plain Text"/>
    <w:basedOn w:val="Normal"/>
    <w:link w:val="PlainTextChar"/>
    <w:rsid w:val="00AF1065"/>
    <w:rPr>
      <w:sz w:val="20"/>
    </w:rPr>
  </w:style>
  <w:style w:type="character" w:customStyle="1" w:styleId="PlainTextChar">
    <w:name w:val="Plain Text Char"/>
    <w:basedOn w:val="DefaultParagraphFont"/>
    <w:link w:val="PlainText"/>
    <w:rsid w:val="00AF1065"/>
    <w:rPr>
      <w:rFonts w:ascii="Courier New" w:eastAsia="Times New Roman" w:hAnsi="Courier New" w:cs="Times New Roman"/>
      <w:sz w:val="20"/>
      <w:szCs w:val="20"/>
      <w:lang w:eastAsia="en-US"/>
    </w:rPr>
  </w:style>
  <w:style w:type="character" w:customStyle="1" w:styleId="MenuOption">
    <w:name w:val="Menu Option"/>
    <w:basedOn w:val="DefaultParagraphFont"/>
    <w:rsid w:val="00AF1065"/>
    <w:rPr>
      <w:b/>
      <w:smallCaps/>
    </w:rPr>
  </w:style>
  <w:style w:type="paragraph" w:customStyle="1" w:styleId="TableListNumber">
    <w:name w:val="Table List Number"/>
    <w:basedOn w:val="ListNumber"/>
    <w:rsid w:val="00AF1065"/>
    <w:pPr>
      <w:numPr>
        <w:numId w:val="0"/>
      </w:numPr>
    </w:pPr>
  </w:style>
  <w:style w:type="paragraph" w:styleId="TOC4">
    <w:name w:val="toc 4"/>
    <w:basedOn w:val="TOCBase"/>
    <w:next w:val="Normal"/>
    <w:semiHidden/>
    <w:rsid w:val="00AF1065"/>
    <w:pPr>
      <w:tabs>
        <w:tab w:val="right" w:leader="dot" w:pos="9071"/>
      </w:tabs>
      <w:ind w:left="1701"/>
    </w:pPr>
  </w:style>
  <w:style w:type="paragraph" w:customStyle="1" w:styleId="ListAlpha">
    <w:name w:val="List Alpha"/>
    <w:basedOn w:val="List"/>
    <w:rsid w:val="00AF1065"/>
    <w:pPr>
      <w:numPr>
        <w:numId w:val="9"/>
      </w:numPr>
    </w:pPr>
  </w:style>
  <w:style w:type="paragraph" w:customStyle="1" w:styleId="ListAlpha2">
    <w:name w:val="List Alpha 2"/>
    <w:basedOn w:val="List2"/>
    <w:rsid w:val="00AF1065"/>
    <w:pPr>
      <w:numPr>
        <w:numId w:val="8"/>
      </w:numPr>
    </w:pPr>
  </w:style>
  <w:style w:type="paragraph" w:styleId="List2">
    <w:name w:val="List 2"/>
    <w:basedOn w:val="BodyText"/>
    <w:rsid w:val="00AF1065"/>
    <w:pPr>
      <w:tabs>
        <w:tab w:val="left" w:pos="680"/>
      </w:tabs>
      <w:spacing w:before="60" w:after="60"/>
      <w:ind w:left="680" w:hanging="340"/>
    </w:pPr>
  </w:style>
  <w:style w:type="paragraph" w:styleId="List3">
    <w:name w:val="List 3"/>
    <w:basedOn w:val="BodyText"/>
    <w:rsid w:val="00AF1065"/>
    <w:pPr>
      <w:tabs>
        <w:tab w:val="left" w:pos="1021"/>
      </w:tabs>
      <w:spacing w:before="60" w:after="60"/>
      <w:ind w:left="1020" w:hanging="340"/>
    </w:pPr>
  </w:style>
  <w:style w:type="paragraph" w:styleId="List4">
    <w:name w:val="List 4"/>
    <w:basedOn w:val="BodyText"/>
    <w:rsid w:val="00AF1065"/>
    <w:pPr>
      <w:tabs>
        <w:tab w:val="left" w:pos="1361"/>
      </w:tabs>
      <w:spacing w:before="60" w:after="60"/>
      <w:ind w:left="1361" w:hanging="340"/>
    </w:pPr>
  </w:style>
  <w:style w:type="paragraph" w:styleId="List5">
    <w:name w:val="List 5"/>
    <w:basedOn w:val="BodyText"/>
    <w:rsid w:val="00AF1065"/>
    <w:pPr>
      <w:tabs>
        <w:tab w:val="left" w:pos="1701"/>
      </w:tabs>
      <w:spacing w:before="60" w:after="60"/>
      <w:ind w:left="1701" w:hanging="340"/>
    </w:pPr>
  </w:style>
  <w:style w:type="paragraph" w:styleId="ListBullet3">
    <w:name w:val="List Bullet 3"/>
    <w:basedOn w:val="List3"/>
    <w:rsid w:val="00AF1065"/>
    <w:pPr>
      <w:numPr>
        <w:numId w:val="14"/>
      </w:numPr>
      <w:tabs>
        <w:tab w:val="clear" w:pos="1021"/>
      </w:tabs>
      <w:ind w:left="1037" w:hanging="357"/>
    </w:pPr>
  </w:style>
  <w:style w:type="paragraph" w:styleId="ListBullet4">
    <w:name w:val="List Bullet 4"/>
    <w:basedOn w:val="List4"/>
    <w:rsid w:val="00AF1065"/>
    <w:pPr>
      <w:numPr>
        <w:numId w:val="3"/>
      </w:numPr>
      <w:tabs>
        <w:tab w:val="clear" w:pos="1361"/>
      </w:tabs>
    </w:pPr>
  </w:style>
  <w:style w:type="paragraph" w:styleId="ListBullet5">
    <w:name w:val="List Bullet 5"/>
    <w:basedOn w:val="List5"/>
    <w:rsid w:val="00AF1065"/>
    <w:pPr>
      <w:numPr>
        <w:numId w:val="4"/>
      </w:numPr>
    </w:pPr>
  </w:style>
  <w:style w:type="paragraph" w:styleId="ListContinue2">
    <w:name w:val="List Continue 2"/>
    <w:basedOn w:val="List2"/>
    <w:rsid w:val="00AF1065"/>
    <w:pPr>
      <w:ind w:firstLine="0"/>
    </w:pPr>
  </w:style>
  <w:style w:type="paragraph" w:styleId="ListContinue3">
    <w:name w:val="List Continue 3"/>
    <w:basedOn w:val="List3"/>
    <w:rsid w:val="00AF1065"/>
    <w:pPr>
      <w:ind w:left="1021" w:firstLine="0"/>
    </w:pPr>
  </w:style>
  <w:style w:type="paragraph" w:styleId="ListContinue4">
    <w:name w:val="List Continue 4"/>
    <w:basedOn w:val="List4"/>
    <w:rsid w:val="00AF1065"/>
    <w:pPr>
      <w:ind w:firstLine="0"/>
    </w:pPr>
  </w:style>
  <w:style w:type="paragraph" w:styleId="ListContinue5">
    <w:name w:val="List Continue 5"/>
    <w:basedOn w:val="List5"/>
    <w:rsid w:val="00AF1065"/>
    <w:pPr>
      <w:ind w:firstLine="0"/>
    </w:pPr>
  </w:style>
  <w:style w:type="paragraph" w:styleId="ListNumber3">
    <w:name w:val="List Number 3"/>
    <w:basedOn w:val="List3"/>
    <w:rsid w:val="00AF1065"/>
    <w:pPr>
      <w:numPr>
        <w:numId w:val="5"/>
      </w:numPr>
    </w:pPr>
  </w:style>
  <w:style w:type="paragraph" w:styleId="ListNumber4">
    <w:name w:val="List Number 4"/>
    <w:basedOn w:val="List4"/>
    <w:rsid w:val="00AF1065"/>
    <w:pPr>
      <w:numPr>
        <w:numId w:val="6"/>
      </w:numPr>
    </w:pPr>
  </w:style>
  <w:style w:type="paragraph" w:styleId="ListNumber5">
    <w:name w:val="List Number 5"/>
    <w:basedOn w:val="List5"/>
    <w:rsid w:val="00AF1065"/>
    <w:pPr>
      <w:numPr>
        <w:numId w:val="7"/>
      </w:numPr>
    </w:pPr>
  </w:style>
  <w:style w:type="paragraph" w:styleId="BlockText">
    <w:name w:val="Block Text"/>
    <w:basedOn w:val="Normal"/>
    <w:rsid w:val="00AF1065"/>
    <w:pPr>
      <w:spacing w:after="120"/>
      <w:ind w:left="1440" w:right="1440"/>
    </w:pPr>
  </w:style>
  <w:style w:type="character" w:customStyle="1" w:styleId="Subscript">
    <w:name w:val="Subscript"/>
    <w:basedOn w:val="DefaultParagraphFont"/>
    <w:rsid w:val="00AF1065"/>
    <w:rPr>
      <w:sz w:val="16"/>
      <w:vertAlign w:val="subscript"/>
    </w:rPr>
  </w:style>
  <w:style w:type="character" w:customStyle="1" w:styleId="Superscript">
    <w:name w:val="Superscript"/>
    <w:basedOn w:val="DefaultParagraphFont"/>
    <w:rsid w:val="00AF1065"/>
    <w:rPr>
      <w:sz w:val="16"/>
      <w:vertAlign w:val="superscript"/>
    </w:rPr>
  </w:style>
  <w:style w:type="character" w:customStyle="1" w:styleId="Symbols">
    <w:name w:val="Symbols"/>
    <w:basedOn w:val="DefaultParagraphFont"/>
    <w:rsid w:val="00AF1065"/>
    <w:rPr>
      <w:rFonts w:ascii="Symbol" w:hAnsi="Symbol"/>
    </w:rPr>
  </w:style>
  <w:style w:type="character" w:customStyle="1" w:styleId="MenuOptions">
    <w:name w:val="Menu Options"/>
    <w:basedOn w:val="DefaultParagraphFont"/>
    <w:rsid w:val="00AF1065"/>
    <w:rPr>
      <w:rFonts w:ascii="Arial Narrow" w:hAnsi="Arial Narrow"/>
      <w:smallCaps/>
    </w:rPr>
  </w:style>
  <w:style w:type="character" w:customStyle="1" w:styleId="Buttons">
    <w:name w:val="Buttons"/>
    <w:basedOn w:val="DefaultParagraphFont"/>
    <w:rsid w:val="00AF1065"/>
    <w:rPr>
      <w:b/>
    </w:rPr>
  </w:style>
  <w:style w:type="character" w:customStyle="1" w:styleId="Underlined">
    <w:name w:val="Underlined"/>
    <w:basedOn w:val="DefaultParagraphFont"/>
    <w:rsid w:val="00AF1065"/>
    <w:rPr>
      <w:u w:val="single"/>
    </w:rPr>
  </w:style>
  <w:style w:type="paragraph" w:customStyle="1" w:styleId="TableBodyTextRight">
    <w:name w:val="Table Body Text Right"/>
    <w:basedOn w:val="TableBodyText"/>
    <w:rsid w:val="00AF1065"/>
    <w:pPr>
      <w:widowControl w:val="0"/>
      <w:autoSpaceDE w:val="0"/>
      <w:autoSpaceDN w:val="0"/>
      <w:adjustRightInd w:val="0"/>
      <w:jc w:val="right"/>
    </w:pPr>
    <w:rPr>
      <w:rFonts w:cs="Arial"/>
      <w:szCs w:val="18"/>
    </w:rPr>
  </w:style>
  <w:style w:type="paragraph" w:customStyle="1" w:styleId="CopyrightText">
    <w:name w:val="Copyright Text"/>
    <w:basedOn w:val="BodyText"/>
    <w:rsid w:val="00AF1065"/>
    <w:rPr>
      <w:sz w:val="18"/>
    </w:rPr>
  </w:style>
  <w:style w:type="paragraph" w:customStyle="1" w:styleId="BodySmallRight">
    <w:name w:val="Body Small Right"/>
    <w:basedOn w:val="BodyTextRight"/>
    <w:rsid w:val="00AF1065"/>
    <w:rPr>
      <w:sz w:val="18"/>
      <w:szCs w:val="18"/>
    </w:rPr>
  </w:style>
  <w:style w:type="paragraph" w:customStyle="1" w:styleId="MarginEdition">
    <w:name w:val="Margin Edition"/>
    <w:basedOn w:val="MarginNote"/>
    <w:rsid w:val="00AF1065"/>
    <w:pPr>
      <w:spacing w:before="0" w:after="0"/>
    </w:pPr>
    <w:rPr>
      <w:rFonts w:ascii="Times New Roman" w:hAnsi="Times New Roman"/>
      <w:color w:val="999999"/>
    </w:rPr>
  </w:style>
  <w:style w:type="paragraph" w:customStyle="1" w:styleId="Spacer">
    <w:name w:val="Spacer"/>
    <w:basedOn w:val="Normal"/>
    <w:rsid w:val="00AF1065"/>
    <w:rPr>
      <w:sz w:val="2"/>
      <w:szCs w:val="2"/>
    </w:rPr>
  </w:style>
  <w:style w:type="character" w:customStyle="1" w:styleId="Small">
    <w:name w:val="Small"/>
    <w:basedOn w:val="DefaultParagraphFont"/>
    <w:rsid w:val="00AF1065"/>
    <w:rPr>
      <w:sz w:val="16"/>
    </w:rPr>
  </w:style>
  <w:style w:type="paragraph" w:customStyle="1" w:styleId="WideTable">
    <w:name w:val="Wide Table"/>
    <w:basedOn w:val="Normal"/>
    <w:rsid w:val="00AF1065"/>
    <w:pPr>
      <w:ind w:left="-1418"/>
    </w:pPr>
    <w:rPr>
      <w:sz w:val="2"/>
      <w:szCs w:val="2"/>
    </w:rPr>
  </w:style>
  <w:style w:type="character" w:styleId="PageNumber">
    <w:name w:val="page number"/>
    <w:basedOn w:val="DefaultParagraphFont"/>
    <w:rsid w:val="00AF1065"/>
  </w:style>
  <w:style w:type="paragraph" w:styleId="Quote">
    <w:name w:val="Quote"/>
    <w:basedOn w:val="Heading1"/>
    <w:link w:val="QuoteChar"/>
    <w:qFormat/>
    <w:rsid w:val="00AF1065"/>
    <w:rPr>
      <w:b w:val="0"/>
      <w:sz w:val="72"/>
      <w:szCs w:val="72"/>
      <w:lang w:val="en-NZ"/>
    </w:rPr>
  </w:style>
  <w:style w:type="character" w:customStyle="1" w:styleId="QuoteChar">
    <w:name w:val="Quote Char"/>
    <w:basedOn w:val="DefaultParagraphFont"/>
    <w:link w:val="Quote"/>
    <w:rsid w:val="00AF1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065"/>
    <w:pPr>
      <w:pageBreakBefore/>
    </w:pPr>
  </w:style>
  <w:style w:type="paragraph" w:customStyle="1" w:styleId="Border">
    <w:name w:val="Border"/>
    <w:basedOn w:val="Normal"/>
    <w:qFormat/>
    <w:rsid w:val="00AF1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065"/>
    <w:rPr>
      <w:b/>
      <w:bCs/>
      <w:i/>
      <w:iCs/>
      <w:color w:val="auto"/>
    </w:rPr>
  </w:style>
  <w:style w:type="paragraph" w:styleId="IntenseQuote">
    <w:name w:val="Intense Quote"/>
    <w:basedOn w:val="Normal"/>
    <w:next w:val="Normal"/>
    <w:link w:val="IntenseQuoteChar"/>
    <w:uiPriority w:val="30"/>
    <w:qFormat/>
    <w:rsid w:val="00AF1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065"/>
    <w:rPr>
      <w:smallCaps/>
      <w:color w:val="auto"/>
      <w:u w:val="single"/>
    </w:rPr>
  </w:style>
  <w:style w:type="character" w:styleId="IntenseReference">
    <w:name w:val="Intense Reference"/>
    <w:basedOn w:val="DefaultParagraphFont"/>
    <w:uiPriority w:val="32"/>
    <w:qFormat/>
    <w:rsid w:val="00AF1065"/>
    <w:rPr>
      <w:b/>
      <w:bCs/>
      <w:smallCaps/>
      <w:color w:val="auto"/>
      <w:spacing w:val="5"/>
      <w:u w:val="single"/>
    </w:rPr>
  </w:style>
  <w:style w:type="paragraph" w:customStyle="1" w:styleId="2ColumnHeading">
    <w:name w:val="2Column Heading"/>
    <w:basedOn w:val="BodyText"/>
    <w:qFormat/>
    <w:rsid w:val="00AF1065"/>
    <w:pPr>
      <w:spacing w:after="60"/>
      <w:ind w:left="-2268"/>
    </w:pPr>
    <w:rPr>
      <w:b/>
    </w:rPr>
  </w:style>
  <w:style w:type="paragraph" w:customStyle="1" w:styleId="Heading1TOC">
    <w:name w:val="Heading1 TOC"/>
    <w:basedOn w:val="Normal"/>
    <w:qFormat/>
    <w:rsid w:val="00AF1065"/>
    <w:pPr>
      <w:spacing w:before="240" w:after="120"/>
    </w:pPr>
    <w:rPr>
      <w:rFonts w:ascii="Times New Roman" w:hAnsi="Times New Roman"/>
      <w:b/>
      <w:sz w:val="32"/>
    </w:rPr>
  </w:style>
  <w:style w:type="paragraph" w:customStyle="1" w:styleId="Heading2TOC">
    <w:name w:val="Heading2 TOC"/>
    <w:basedOn w:val="Normal"/>
    <w:qFormat/>
    <w:rsid w:val="00AF1065"/>
    <w:pPr>
      <w:spacing w:before="240" w:after="60"/>
    </w:pPr>
    <w:rPr>
      <w:rFonts w:ascii="Times New Roman" w:hAnsi="Times New Roman"/>
      <w:b/>
      <w:sz w:val="28"/>
    </w:rPr>
  </w:style>
  <w:style w:type="character" w:customStyle="1" w:styleId="Underline">
    <w:name w:val="Underline"/>
    <w:basedOn w:val="DefaultParagraphFont"/>
    <w:qFormat/>
    <w:rsid w:val="00AF1065"/>
    <w:rPr>
      <w:u w:val="single"/>
    </w:rPr>
  </w:style>
  <w:style w:type="character" w:customStyle="1" w:styleId="BoldandItalics">
    <w:name w:val="Bold and Italics"/>
    <w:qFormat/>
    <w:rsid w:val="00AF1065"/>
    <w:rPr>
      <w:b/>
      <w:i/>
      <w:u w:val="none"/>
    </w:rPr>
  </w:style>
  <w:style w:type="paragraph" w:styleId="BalloonText">
    <w:name w:val="Balloon Text"/>
    <w:basedOn w:val="Normal"/>
    <w:link w:val="BalloonTextChar"/>
    <w:rsid w:val="00AF1065"/>
    <w:rPr>
      <w:rFonts w:ascii="Tahoma" w:hAnsi="Tahoma" w:cs="Tahoma"/>
      <w:sz w:val="16"/>
      <w:szCs w:val="16"/>
    </w:rPr>
  </w:style>
  <w:style w:type="character" w:customStyle="1" w:styleId="BalloonTextChar">
    <w:name w:val="Balloon Text Char"/>
    <w:basedOn w:val="DefaultParagraphFont"/>
    <w:link w:val="BalloonText"/>
    <w:rsid w:val="00AF1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065"/>
    <w:rPr>
      <w:b/>
      <w:color w:val="660033"/>
      <w:spacing w:val="0"/>
    </w:rPr>
  </w:style>
  <w:style w:type="paragraph" w:customStyle="1" w:styleId="Nameditemlist">
    <w:name w:val="Named item list"/>
    <w:basedOn w:val="BodyText"/>
    <w:qFormat/>
    <w:rsid w:val="00AF1065"/>
    <w:pPr>
      <w:tabs>
        <w:tab w:val="left" w:pos="2835"/>
      </w:tabs>
      <w:ind w:left="2835" w:hanging="2835"/>
    </w:pPr>
  </w:style>
  <w:style w:type="paragraph" w:customStyle="1" w:styleId="BodyTextnopadding">
    <w:name w:val="Body Text no padding"/>
    <w:basedOn w:val="BodyText"/>
    <w:qFormat/>
    <w:rsid w:val="00AF1065"/>
    <w:pPr>
      <w:spacing w:before="0" w:after="0"/>
    </w:pPr>
  </w:style>
  <w:style w:type="paragraph" w:customStyle="1" w:styleId="BodyTextBold">
    <w:name w:val="Body Text Bold"/>
    <w:basedOn w:val="BodyText"/>
    <w:qFormat/>
    <w:rsid w:val="00AF1065"/>
    <w:rPr>
      <w:b/>
    </w:rPr>
  </w:style>
  <w:style w:type="character" w:styleId="Hyperlink">
    <w:name w:val="Hyperlink"/>
    <w:basedOn w:val="DefaultParagraphFont"/>
    <w:uiPriority w:val="99"/>
    <w:unhideWhenUsed/>
    <w:rsid w:val="00B95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1818</Words>
  <Characters>11381</Characters>
  <Application>Microsoft Office Word</Application>
  <DocSecurity>0</DocSecurity>
  <Lines>367</Lines>
  <Paragraphs>175</Paragraphs>
  <ScaleCrop>false</ScaleCrop>
  <Company>Author-it Software Corporation Ltd.</Company>
  <LinksUpToDate>false</LinksUpToDate>
  <CharactersWithSpaces>13024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UETDRTO003 Establish and reinstate a power systems transmission structure work site</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