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445" w:rsidP="00B214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UETDRSO014 Coordinate operations in a regulated energy market</w:t>
      </w:r>
      <w:r>
        <w:fldChar w:fldCharType="end"/>
      </w:r>
    </w:p>
    <w:p w:rsidR="00B21445" w:rsidP="00B21445">
      <w:pPr>
        <w:pStyle w:val="Version"/>
        <w:sectPr w:rsidSect="00A47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589" w:rsidP="00A47589">
      <w:pPr>
        <w:pStyle w:val="SuperHeading"/>
      </w:pPr>
      <w:r w:rsidRPr="00A47589">
        <w:t>Assessment Requirements for UETDRSO014 Coordinate operations in a regulated energy market</w:t>
      </w:r>
    </w:p>
    <w:p w:rsidR="00000000" w:rsidRPr="00A47589" w:rsidP="00A47589">
      <w:pPr>
        <w:pStyle w:val="Heading1"/>
      </w:pPr>
      <w:bookmarkStart w:id="1" w:name="O_1237520"/>
      <w:bookmarkEnd w:id="1"/>
      <w:r w:rsidRPr="00A475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589" w:rsidP="00A47589">
            <w:pPr>
              <w:pStyle w:val="BodyText"/>
            </w:pPr>
            <w:r w:rsidRPr="00A47589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A47589" w:rsidP="00A47589">
      <w:pPr>
        <w:pStyle w:val="NoPaddingFontSize1"/>
      </w:pPr>
    </w:p>
    <w:p w:rsidR="00000000" w:rsidRPr="00A47589" w:rsidP="00A47589">
      <w:pPr>
        <w:pStyle w:val="AllowPageBreak"/>
      </w:pPr>
    </w:p>
    <w:p w:rsidR="00000000" w:rsidRPr="00A47589" w:rsidP="00A47589">
      <w:pPr>
        <w:pStyle w:val="Heading1"/>
      </w:pPr>
      <w:bookmarkStart w:id="2" w:name="O_1237521"/>
      <w:bookmarkEnd w:id="2"/>
      <w:r w:rsidRPr="00A4758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589">
            <w:pPr>
              <w:pStyle w:val="BodyText"/>
              <w:rPr>
                <w:lang w:val="en-NZ"/>
              </w:rPr>
            </w:pPr>
            <w:r w:rsidRPr="00A47589">
              <w:t>Evidence required to demonstrate competence in this unit must be r</w:t>
            </w:r>
            <w:r w:rsidRPr="00A47589">
              <w:t>elevant to and satisfy all of the requirements of the elements and performance criteria on at least two (2) separate occasions and include:</w:t>
            </w:r>
          </w:p>
        </w:tc>
      </w:tr>
      <w:tr w:rsidTr="00A47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589" w:rsidP="00A47589">
            <w:pPr>
              <w:pStyle w:val="ListBullet"/>
            </w:pPr>
            <w:r w:rsidRPr="00A47589">
              <w:t>applying relevant legislation, regulations, standards, codes of practice and organisational workplace requirements</w:t>
            </w:r>
            <w:r w:rsidRPr="00A47589">
              <w:t xml:space="preserve"> including:</w:t>
            </w:r>
          </w:p>
          <w:p w:rsidR="00000000" w:rsidRPr="00A47589" w:rsidP="00A47589">
            <w:pPr>
              <w:pStyle w:val="ListBullet2"/>
            </w:pPr>
            <w:r w:rsidRPr="00A47589">
              <w:t>work health and safety (WHS)/occupational health and safety (OHS) requirements</w:t>
            </w:r>
          </w:p>
          <w:p w:rsidR="00000000" w:rsidRPr="00A47589" w:rsidP="00A47589">
            <w:pPr>
              <w:pStyle w:val="ListBullet"/>
            </w:pPr>
            <w:r w:rsidRPr="00A47589">
              <w:t>identifying hazards, assessing risks, and identifying, applying and monitoring control measures</w:t>
            </w:r>
          </w:p>
          <w:p w:rsidR="00000000" w:rsidRPr="00A47589" w:rsidP="00A47589">
            <w:pPr>
              <w:pStyle w:val="ListBullet"/>
            </w:pPr>
            <w:r w:rsidRPr="00A47589">
              <w:t>dealing with an unplanned event on at least one (1) occasion</w:t>
            </w:r>
          </w:p>
          <w:p w:rsidR="00000000" w:rsidRPr="00A47589" w:rsidP="00A47589">
            <w:pPr>
              <w:pStyle w:val="ListBullet"/>
            </w:pPr>
            <w:r w:rsidRPr="00A47589">
              <w:t>obtaining and signing relevant work permits in accordance with workplace requirements</w:t>
            </w:r>
          </w:p>
          <w:p w:rsidR="00000000" w:rsidRPr="00A47589" w:rsidP="00A47589">
            <w:pPr>
              <w:pStyle w:val="ListBullet"/>
            </w:pPr>
            <w:r w:rsidRPr="00A47589">
              <w:t>completing relevant work records, reports and documentation</w:t>
            </w:r>
          </w:p>
          <w:p w:rsidR="00000000" w:rsidRPr="00A47589" w:rsidP="00A47589">
            <w:pPr>
              <w:pStyle w:val="ListBullet"/>
            </w:pPr>
            <w:r w:rsidRPr="00A47589">
              <w:t>demonstrating on at least three (3) occasions the following:</w:t>
            </w:r>
          </w:p>
          <w:p w:rsidR="00000000" w:rsidRPr="00A47589" w:rsidP="00A47589">
            <w:pPr>
              <w:pStyle w:val="ListBullet2"/>
            </w:pPr>
            <w:r w:rsidRPr="00A47589">
              <w:t>analysing energy market price data</w:t>
            </w:r>
          </w:p>
          <w:p w:rsidR="00000000" w:rsidRPr="00A47589" w:rsidP="00A47589">
            <w:pPr>
              <w:pStyle w:val="ListBullet2"/>
            </w:pPr>
            <w:r w:rsidRPr="00A47589">
              <w:t>placing bid d</w:t>
            </w:r>
            <w:r w:rsidRPr="00A47589">
              <w:t xml:space="preserve">epending on bid stack and dispatch </w:t>
            </w:r>
          </w:p>
          <w:p w:rsidR="00000000" w:rsidRPr="00A47589" w:rsidP="00A47589">
            <w:pPr>
              <w:pStyle w:val="ListBullet2"/>
            </w:pPr>
            <w:r w:rsidRPr="00A47589">
              <w:t>dispatching energy to the electricity market</w:t>
            </w:r>
          </w:p>
          <w:p w:rsidR="00000000" w:rsidRPr="00A47589" w:rsidP="00A47589">
            <w:pPr>
              <w:pStyle w:val="ListBullet2"/>
            </w:pPr>
            <w:r w:rsidRPr="00A47589">
              <w:t>responding to electricity market fluctuations</w:t>
            </w:r>
          </w:p>
          <w:p w:rsidR="00000000" w:rsidRPr="00A47589" w:rsidP="00A47589">
            <w:pPr>
              <w:pStyle w:val="ListBullet2"/>
            </w:pPr>
            <w:r w:rsidRPr="00A47589">
              <w:t>assessing network constraints</w:t>
            </w:r>
          </w:p>
          <w:p w:rsidR="00000000" w:rsidRPr="00A47589" w:rsidP="00A47589">
            <w:pPr>
              <w:pStyle w:val="ListBullet2"/>
            </w:pPr>
            <w:r w:rsidRPr="00A47589">
              <w:t>manipulating system for optimal energy dispatch.</w:t>
            </w:r>
          </w:p>
        </w:tc>
      </w:tr>
    </w:tbl>
    <w:p w:rsidR="00000000" w:rsidRPr="00A47589" w:rsidP="00A47589">
      <w:pPr>
        <w:pStyle w:val="NoPaddingFontSize1"/>
      </w:pPr>
    </w:p>
    <w:p w:rsidR="00000000" w:rsidRPr="00A47589" w:rsidP="00A47589">
      <w:pPr>
        <w:pStyle w:val="AllowPageBreak"/>
      </w:pPr>
    </w:p>
    <w:p w:rsidR="00000000" w:rsidRPr="00A47589" w:rsidP="00A47589">
      <w:pPr>
        <w:pStyle w:val="Heading1"/>
      </w:pPr>
      <w:bookmarkStart w:id="3" w:name="O_1237522"/>
      <w:bookmarkEnd w:id="3"/>
      <w:r w:rsidRPr="00A4758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589">
            <w:pPr>
              <w:pStyle w:val="BodyText"/>
              <w:rPr>
                <w:lang w:val="en-NZ"/>
              </w:rPr>
            </w:pPr>
            <w:r w:rsidRPr="00A4758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47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589" w:rsidP="00A47589">
            <w:pPr>
              <w:pStyle w:val="ListBullet"/>
            </w:pPr>
            <w:r w:rsidRPr="00A47589">
              <w:t>relevant legislation, regulations, standards, codes of practice and organi</w:t>
            </w:r>
            <w:r w:rsidRPr="00A47589">
              <w:t>sational workplace requirements, including WHS/OHS requirements</w:t>
            </w:r>
          </w:p>
          <w:p w:rsidR="00000000" w:rsidRPr="00A47589" w:rsidP="00A47589">
            <w:pPr>
              <w:pStyle w:val="ListBullet"/>
            </w:pPr>
            <w:r w:rsidRPr="00A47589">
              <w:t xml:space="preserve">hazard, risk assessment and risk control requirements, including possible hazards </w:t>
            </w:r>
          </w:p>
          <w:p w:rsidR="00000000" w:rsidRPr="00A47589" w:rsidP="00A47589">
            <w:pPr>
              <w:pStyle w:val="ListBullet"/>
            </w:pPr>
            <w:r w:rsidRPr="00A47589">
              <w:t>application, purpose and types of permits</w:t>
            </w:r>
          </w:p>
          <w:p w:rsidR="00000000" w:rsidRPr="00A47589" w:rsidP="00A47589">
            <w:pPr>
              <w:pStyle w:val="ListBullet"/>
            </w:pPr>
            <w:r w:rsidRPr="00A47589">
              <w:t>events constituting an unplanned event or incident</w:t>
            </w:r>
          </w:p>
          <w:p w:rsidR="00000000" w:rsidRPr="00A47589" w:rsidP="00A47589">
            <w:pPr>
              <w:pStyle w:val="ListBullet"/>
            </w:pPr>
            <w:r w:rsidRPr="00A47589">
              <w:t>procedures for r</w:t>
            </w:r>
            <w:r w:rsidRPr="00A47589">
              <w:t>esponding to an unplanned event or incident</w:t>
            </w:r>
          </w:p>
          <w:p w:rsidR="00000000" w:rsidRPr="00A47589" w:rsidP="00A47589">
            <w:pPr>
              <w:pStyle w:val="ListBullet"/>
            </w:pPr>
            <w:r w:rsidRPr="00A47589">
              <w:t>workplace records, reports and documentation</w:t>
            </w:r>
          </w:p>
          <w:p w:rsidR="00000000" w:rsidRPr="00A47589" w:rsidP="00A47589">
            <w:pPr>
              <w:pStyle w:val="ListBullet"/>
            </w:pPr>
            <w:r w:rsidRPr="00A47589">
              <w:t>energy principles and practices</w:t>
            </w:r>
          </w:p>
          <w:p w:rsidR="00000000" w:rsidRPr="00A47589" w:rsidP="00A47589">
            <w:pPr>
              <w:pStyle w:val="ListBullet"/>
            </w:pPr>
            <w:r w:rsidRPr="00A47589">
              <w:t>sustainable energy principles and practices</w:t>
            </w:r>
          </w:p>
          <w:p w:rsidR="00000000" w:rsidRPr="00A47589" w:rsidP="00A47589">
            <w:pPr>
              <w:pStyle w:val="ListBullet"/>
            </w:pPr>
            <w:r w:rsidRPr="00A47589">
              <w:t>principles and objectives of the electricity market</w:t>
            </w:r>
          </w:p>
          <w:p w:rsidR="00000000" w:rsidRPr="00A47589" w:rsidP="00A47589">
            <w:pPr>
              <w:pStyle w:val="ListBullet"/>
            </w:pPr>
            <w:r w:rsidRPr="00A47589">
              <w:t>the role of ancillary services in the o</w:t>
            </w:r>
            <w:r w:rsidRPr="00A47589">
              <w:t>peration of the electricity market</w:t>
            </w:r>
          </w:p>
          <w:p w:rsidR="00000000" w:rsidRPr="00A47589" w:rsidP="00A47589">
            <w:pPr>
              <w:pStyle w:val="ListBullet"/>
            </w:pPr>
            <w:r w:rsidRPr="00A47589">
              <w:t>generation systems, including:</w:t>
            </w:r>
          </w:p>
          <w:p w:rsidR="00000000" w:rsidRPr="00A47589" w:rsidP="00A47589">
            <w:pPr>
              <w:pStyle w:val="ListBullet2"/>
            </w:pPr>
            <w:r w:rsidRPr="00A47589">
              <w:t xml:space="preserve">methods of generating electricity </w:t>
            </w:r>
          </w:p>
          <w:p w:rsidR="00000000" w:rsidRPr="00A47589" w:rsidP="00A47589">
            <w:pPr>
              <w:pStyle w:val="ListBullet2"/>
            </w:pPr>
            <w:r w:rsidRPr="00A47589">
              <w:t>types, characteristics, constraints</w:t>
            </w:r>
          </w:p>
          <w:p w:rsidR="00000000" w:rsidRPr="00A47589" w:rsidP="00A47589">
            <w:pPr>
              <w:pStyle w:val="ListBullet2"/>
            </w:pPr>
            <w:r w:rsidRPr="00A47589">
              <w:t>supply versus demand</w:t>
            </w:r>
          </w:p>
          <w:p w:rsidR="00000000" w:rsidRPr="00A47589" w:rsidP="00A47589">
            <w:pPr>
              <w:pStyle w:val="ListBullet"/>
            </w:pPr>
            <w:r w:rsidRPr="00A47589">
              <w:t>energy market principles, procedures, and objectives, including:</w:t>
            </w:r>
          </w:p>
          <w:p w:rsidR="00000000" w:rsidRPr="00A47589" w:rsidP="00A47589">
            <w:pPr>
              <w:pStyle w:val="ListBullet2"/>
            </w:pPr>
            <w:r w:rsidRPr="00A47589">
              <w:t>electricity pool</w:t>
            </w:r>
          </w:p>
          <w:p w:rsidR="00000000" w:rsidRPr="00A47589" w:rsidP="00A47589">
            <w:pPr>
              <w:pStyle w:val="ListBullet2"/>
            </w:pPr>
            <w:r w:rsidRPr="00A47589">
              <w:t>analysing energy market price</w:t>
            </w:r>
          </w:p>
          <w:p w:rsidR="00000000" w:rsidRPr="00A47589" w:rsidP="00A47589">
            <w:pPr>
              <w:pStyle w:val="ListBullet2"/>
            </w:pPr>
            <w:r w:rsidRPr="00A47589">
              <w:t>analysis of pricing concepts</w:t>
            </w:r>
          </w:p>
          <w:p w:rsidR="00000000" w:rsidRPr="00A47589" w:rsidP="00A47589">
            <w:pPr>
              <w:pStyle w:val="ListBullet2"/>
            </w:pPr>
            <w:r w:rsidRPr="00A47589">
              <w:t xml:space="preserve">service provider obligations </w:t>
            </w:r>
          </w:p>
          <w:p w:rsidR="00000000" w:rsidRPr="00A47589" w:rsidP="00A47589">
            <w:pPr>
              <w:pStyle w:val="ListBullet2"/>
            </w:pPr>
            <w:r w:rsidRPr="00A47589">
              <w:t>bidding</w:t>
            </w:r>
          </w:p>
          <w:p w:rsidR="00000000" w:rsidRPr="00A47589" w:rsidP="00A47589">
            <w:pPr>
              <w:pStyle w:val="ListBullet2"/>
            </w:pPr>
            <w:r w:rsidRPr="00A47589">
              <w:t>scheduling and dispatching energy</w:t>
            </w:r>
          </w:p>
          <w:p w:rsidR="00000000" w:rsidRPr="00A47589" w:rsidP="00A47589">
            <w:pPr>
              <w:pStyle w:val="ListBullet2"/>
            </w:pPr>
            <w:r w:rsidRPr="00A47589">
              <w:t>market fluctuations</w:t>
            </w:r>
          </w:p>
          <w:p w:rsidR="00000000" w:rsidRPr="00A47589" w:rsidP="00A47589">
            <w:pPr>
              <w:pStyle w:val="ListBullet2"/>
            </w:pPr>
            <w:r w:rsidRPr="00A47589">
              <w:t>network constraints</w:t>
            </w:r>
          </w:p>
          <w:p w:rsidR="00000000" w:rsidRPr="00A47589" w:rsidP="00A47589">
            <w:pPr>
              <w:pStyle w:val="ListBullet2"/>
            </w:pPr>
            <w:r w:rsidRPr="00A47589">
              <w:t xml:space="preserve">ancillary services </w:t>
            </w:r>
          </w:p>
          <w:p w:rsidR="00000000" w:rsidRPr="00A47589" w:rsidP="00A47589">
            <w:pPr>
              <w:pStyle w:val="ListBullet2"/>
            </w:pPr>
            <w:r w:rsidRPr="00A47589">
              <w:t xml:space="preserve">connection and access requirements </w:t>
            </w:r>
          </w:p>
          <w:p w:rsidR="00000000" w:rsidRPr="00A47589" w:rsidP="00A47589">
            <w:pPr>
              <w:pStyle w:val="ListBullet2"/>
            </w:pPr>
            <w:r w:rsidRPr="00A47589">
              <w:t>contractual obligations and o</w:t>
            </w:r>
            <w:r w:rsidRPr="00A47589">
              <w:t>perating agreements</w:t>
            </w:r>
          </w:p>
          <w:p w:rsidR="00000000" w:rsidRPr="00A47589" w:rsidP="00A47589">
            <w:pPr>
              <w:pStyle w:val="ListBullet2"/>
            </w:pPr>
            <w:r w:rsidRPr="00A47589">
              <w:t>market interventions</w:t>
            </w:r>
          </w:p>
          <w:p w:rsidR="00000000" w:rsidRPr="00A47589" w:rsidP="00A47589">
            <w:pPr>
              <w:pStyle w:val="ListBullet2"/>
            </w:pPr>
            <w:r w:rsidRPr="00A47589">
              <w:t>loss factors.</w:t>
            </w:r>
          </w:p>
        </w:tc>
      </w:tr>
    </w:tbl>
    <w:p w:rsidR="00000000" w:rsidRPr="00A47589" w:rsidP="00A47589">
      <w:pPr>
        <w:pStyle w:val="NoPaddingFontSize1"/>
      </w:pPr>
    </w:p>
    <w:p w:rsidR="00000000" w:rsidRPr="00A47589" w:rsidP="00A47589">
      <w:pPr>
        <w:pStyle w:val="AllowPageBreak"/>
      </w:pPr>
    </w:p>
    <w:p w:rsidR="00000000" w:rsidRPr="00A47589" w:rsidP="00A47589">
      <w:pPr>
        <w:pStyle w:val="Heading1"/>
      </w:pPr>
      <w:bookmarkStart w:id="4" w:name="O_1237523"/>
      <w:bookmarkEnd w:id="4"/>
      <w:r w:rsidRPr="00A4758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589" w:rsidP="00A47589">
            <w:pPr>
              <w:pStyle w:val="BodyText"/>
            </w:pPr>
            <w:r w:rsidRPr="00A47589">
              <w:t>Assessors must hold credentials specified within the Standards for Registered Training Organisations current at the time of assessment.</w:t>
            </w:r>
          </w:p>
          <w:p w:rsidR="00000000" w:rsidRPr="00A47589" w:rsidP="00A47589">
            <w:pPr>
              <w:pStyle w:val="BodyText"/>
            </w:pPr>
            <w:r w:rsidRPr="00A47589">
              <w:t>Assessment must satisf</w:t>
            </w:r>
            <w:r w:rsidRPr="00A47589">
              <w:t>y the Principles of Assessment and Rules of Evidence and all regulatory requirements included within the Standards for Registered Training Organisations current at the time of assessment.</w:t>
            </w:r>
          </w:p>
          <w:p w:rsidR="00000000" w:rsidRPr="00A47589" w:rsidP="00A47589">
            <w:pPr>
              <w:pStyle w:val="BodyText"/>
            </w:pPr>
            <w:r w:rsidRPr="00A47589">
              <w:t>Assessment must occur in workplace operational situations where it i</w:t>
            </w:r>
            <w:r w:rsidRPr="00A47589">
              <w:t>s appropriate to do so.</w:t>
            </w:r>
          </w:p>
          <w:p w:rsidR="00000000" w:rsidRPr="00A47589" w:rsidP="00A47589">
            <w:pPr>
              <w:pStyle w:val="BodyText"/>
            </w:pPr>
            <w:r w:rsidRPr="00A47589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A47589" w:rsidP="00A47589">
            <w:pPr>
              <w:pStyle w:val="BodyText"/>
            </w:pPr>
            <w:r w:rsidRPr="00A47589">
              <w:t>Assessment processes and techniques must be appropriate to th</w:t>
            </w:r>
            <w:r w:rsidRPr="00A47589">
              <w:t>e language, literacy and numeracy requirements of the work being performed and the needs of the candidate.</w:t>
            </w:r>
          </w:p>
          <w:p w:rsidR="00000000" w:rsidRPr="00A47589" w:rsidP="00A47589">
            <w:pPr>
              <w:pStyle w:val="BodyText"/>
            </w:pPr>
            <w:r w:rsidRPr="00A47589">
              <w:t>Resources for assessment must include access to:</w:t>
            </w:r>
          </w:p>
          <w:p w:rsidR="00000000" w:rsidRPr="00A47589" w:rsidP="00A47589">
            <w:pPr>
              <w:pStyle w:val="ListBullet"/>
            </w:pPr>
            <w:r w:rsidRPr="00A47589">
              <w:t xml:space="preserve">applicable documentation, including workplace requirements, relevant industry standards, </w:t>
            </w:r>
            <w:r w:rsidRPr="00A47589">
              <w:t>equipment specifications, regulations, codes of practice, relevant modelling tools, drawings and operation manuals.</w:t>
            </w:r>
          </w:p>
        </w:tc>
      </w:tr>
    </w:tbl>
    <w:p w:rsidR="00000000" w:rsidRPr="00A47589" w:rsidP="00A47589">
      <w:pPr>
        <w:pStyle w:val="NoPaddingFontSize1"/>
      </w:pPr>
    </w:p>
    <w:p w:rsidR="00000000" w:rsidRPr="00A47589" w:rsidP="00A47589">
      <w:pPr>
        <w:pStyle w:val="AllowPageBreak"/>
      </w:pPr>
    </w:p>
    <w:p w:rsidR="00000000" w:rsidRPr="00A47589" w:rsidP="00A47589">
      <w:pPr>
        <w:pStyle w:val="Heading1"/>
      </w:pPr>
      <w:bookmarkStart w:id="5" w:name="O_1237526"/>
      <w:bookmarkEnd w:id="5"/>
      <w:r w:rsidRPr="00A47589">
        <w:t>Links</w:t>
      </w:r>
    </w:p>
    <w:p w:rsidR="00000000" w:rsidRPr="00A47589" w:rsidP="00B21445">
      <w:pPr>
        <w:pStyle w:val="BodyText"/>
      </w:pPr>
      <w:r w:rsidRPr="00A475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953F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47589" w:rsidP="00A47589"/>
    <w:sectPr w:rsidSect="00A475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589" w:rsidRPr="00B21445" w:rsidP="00B214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445" w:rsidP="00A47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445" w:rsidP="00A47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21445" w:rsidP="00A475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4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589" w:rsidRPr="00B21445" w:rsidP="00B214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445" w:rsidRPr="002D2AF8" w:rsidP="00A47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UETDRSO014 Coordinate operations in a regulated energy market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B21445" w:rsidP="00A475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6297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288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3CDE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589"/>
  </w:style>
  <w:style w:type="character" w:customStyle="1" w:styleId="Heading1Char">
    <w:name w:val="Heading 1 Char"/>
    <w:basedOn w:val="DefaultParagraphFont"/>
    <w:link w:val="Heading1"/>
    <w:rsid w:val="00A47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5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5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75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75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75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7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5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5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5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75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7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7589"/>
    <w:rPr>
      <w:b/>
      <w:spacing w:val="0"/>
    </w:rPr>
  </w:style>
  <w:style w:type="paragraph" w:customStyle="1" w:styleId="SuperTitle">
    <w:name w:val="SuperTitle"/>
    <w:basedOn w:val="Title"/>
    <w:rsid w:val="00A47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7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5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5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589"/>
    <w:rPr>
      <w:i/>
    </w:rPr>
  </w:style>
  <w:style w:type="paragraph" w:styleId="Caption">
    <w:name w:val="caption"/>
    <w:basedOn w:val="BodyText"/>
    <w:next w:val="Normal"/>
    <w:qFormat/>
    <w:rsid w:val="00A47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589"/>
  </w:style>
  <w:style w:type="paragraph" w:styleId="TableofFigures">
    <w:name w:val="table of figures"/>
    <w:basedOn w:val="Normal"/>
    <w:next w:val="Normal"/>
    <w:semiHidden/>
    <w:rsid w:val="00A47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5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7589"/>
    <w:rPr>
      <w:rFonts w:ascii="Wingdings" w:hAnsi="Wingdings"/>
    </w:rPr>
  </w:style>
  <w:style w:type="paragraph" w:customStyle="1" w:styleId="TableHeading">
    <w:name w:val="Table Heading"/>
    <w:basedOn w:val="HeadingBase"/>
    <w:rsid w:val="00A475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589"/>
    <w:rPr>
      <w:color w:val="0033CC"/>
      <w:u w:val="none"/>
    </w:rPr>
  </w:style>
  <w:style w:type="paragraph" w:customStyle="1" w:styleId="BodyTextRight">
    <w:name w:val="Body Text Right"/>
    <w:basedOn w:val="BodyText"/>
    <w:rsid w:val="00A47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5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5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589"/>
    <w:rPr>
      <w:sz w:val="32"/>
    </w:rPr>
  </w:style>
  <w:style w:type="paragraph" w:customStyle="1" w:styleId="HeadingProcedure">
    <w:name w:val="Heading Procedure"/>
    <w:basedOn w:val="HeadingBase"/>
    <w:next w:val="Normal"/>
    <w:rsid w:val="00A47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589"/>
    <w:pPr>
      <w:spacing w:before="60" w:after="60"/>
    </w:pPr>
  </w:style>
  <w:style w:type="paragraph" w:styleId="ListContinue">
    <w:name w:val="List Continue"/>
    <w:basedOn w:val="List"/>
    <w:rsid w:val="00A47589"/>
    <w:pPr>
      <w:ind w:firstLine="0"/>
    </w:pPr>
  </w:style>
  <w:style w:type="paragraph" w:customStyle="1" w:styleId="ListNote">
    <w:name w:val="List Note"/>
    <w:basedOn w:val="List"/>
    <w:rsid w:val="00A47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589"/>
    <w:rPr>
      <w:rFonts w:ascii="Courier New" w:hAnsi="Courier New"/>
    </w:rPr>
  </w:style>
  <w:style w:type="paragraph" w:customStyle="1" w:styleId="NoteBullet">
    <w:name w:val="Note Bullet"/>
    <w:basedOn w:val="Note"/>
    <w:rsid w:val="00A47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5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7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5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589"/>
    <w:rPr>
      <w:b/>
      <w:smallCaps/>
    </w:rPr>
  </w:style>
  <w:style w:type="paragraph" w:customStyle="1" w:styleId="TableListNumber">
    <w:name w:val="Table List Number"/>
    <w:basedOn w:val="ListNumber"/>
    <w:rsid w:val="00A47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589"/>
    <w:pPr>
      <w:numPr>
        <w:numId w:val="9"/>
      </w:numPr>
    </w:pPr>
  </w:style>
  <w:style w:type="paragraph" w:customStyle="1" w:styleId="ListAlpha2">
    <w:name w:val="List Alpha 2"/>
    <w:basedOn w:val="List2"/>
    <w:rsid w:val="00A47589"/>
    <w:pPr>
      <w:numPr>
        <w:numId w:val="8"/>
      </w:numPr>
    </w:pPr>
  </w:style>
  <w:style w:type="paragraph" w:styleId="List2">
    <w:name w:val="List 2"/>
    <w:basedOn w:val="BodyText"/>
    <w:rsid w:val="00A475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5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5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5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7589"/>
    <w:pPr>
      <w:numPr>
        <w:numId w:val="4"/>
      </w:numPr>
    </w:pPr>
  </w:style>
  <w:style w:type="paragraph" w:styleId="ListContinue2">
    <w:name w:val="List Continue 2"/>
    <w:basedOn w:val="List2"/>
    <w:rsid w:val="00A47589"/>
    <w:pPr>
      <w:ind w:firstLine="0"/>
    </w:pPr>
  </w:style>
  <w:style w:type="paragraph" w:styleId="ListContinue3">
    <w:name w:val="List Continue 3"/>
    <w:basedOn w:val="List3"/>
    <w:rsid w:val="00A47589"/>
    <w:pPr>
      <w:ind w:left="1021" w:firstLine="0"/>
    </w:pPr>
  </w:style>
  <w:style w:type="paragraph" w:styleId="ListContinue4">
    <w:name w:val="List Continue 4"/>
    <w:basedOn w:val="List4"/>
    <w:rsid w:val="00A47589"/>
    <w:pPr>
      <w:ind w:firstLine="0"/>
    </w:pPr>
  </w:style>
  <w:style w:type="paragraph" w:styleId="ListContinue5">
    <w:name w:val="List Continue 5"/>
    <w:basedOn w:val="List5"/>
    <w:rsid w:val="00A47589"/>
    <w:pPr>
      <w:ind w:firstLine="0"/>
    </w:pPr>
  </w:style>
  <w:style w:type="paragraph" w:styleId="ListNumber3">
    <w:name w:val="List Number 3"/>
    <w:basedOn w:val="List3"/>
    <w:rsid w:val="00A47589"/>
    <w:pPr>
      <w:numPr>
        <w:numId w:val="5"/>
      </w:numPr>
    </w:pPr>
  </w:style>
  <w:style w:type="paragraph" w:styleId="ListNumber4">
    <w:name w:val="List Number 4"/>
    <w:basedOn w:val="List4"/>
    <w:rsid w:val="00A47589"/>
    <w:pPr>
      <w:numPr>
        <w:numId w:val="6"/>
      </w:numPr>
    </w:pPr>
  </w:style>
  <w:style w:type="paragraph" w:styleId="ListNumber5">
    <w:name w:val="List Number 5"/>
    <w:basedOn w:val="List5"/>
    <w:rsid w:val="00A47589"/>
    <w:pPr>
      <w:numPr>
        <w:numId w:val="7"/>
      </w:numPr>
    </w:pPr>
  </w:style>
  <w:style w:type="paragraph" w:styleId="BlockText">
    <w:name w:val="Block Text"/>
    <w:basedOn w:val="Normal"/>
    <w:rsid w:val="00A47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589"/>
    <w:rPr>
      <w:sz w:val="16"/>
      <w:vertAlign w:val="superscript"/>
    </w:rPr>
  </w:style>
  <w:style w:type="character" w:customStyle="1" w:styleId="Symbols">
    <w:name w:val="Symbols"/>
    <w:basedOn w:val="DefaultParagraphFont"/>
    <w:rsid w:val="00A47589"/>
    <w:rPr>
      <w:rFonts w:ascii="Symbol" w:hAnsi="Symbol"/>
    </w:rPr>
  </w:style>
  <w:style w:type="character" w:customStyle="1" w:styleId="MenuOptions">
    <w:name w:val="Menu Options"/>
    <w:basedOn w:val="DefaultParagraphFont"/>
    <w:rsid w:val="00A47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589"/>
    <w:rPr>
      <w:b/>
    </w:rPr>
  </w:style>
  <w:style w:type="character" w:customStyle="1" w:styleId="Underlined">
    <w:name w:val="Underlined"/>
    <w:basedOn w:val="DefaultParagraphFont"/>
    <w:rsid w:val="00A47589"/>
    <w:rPr>
      <w:u w:val="single"/>
    </w:rPr>
  </w:style>
  <w:style w:type="paragraph" w:customStyle="1" w:styleId="TableBodyTextRight">
    <w:name w:val="Table Body Text Right"/>
    <w:basedOn w:val="TableBodyText"/>
    <w:rsid w:val="00A47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589"/>
    <w:rPr>
      <w:sz w:val="18"/>
    </w:rPr>
  </w:style>
  <w:style w:type="paragraph" w:customStyle="1" w:styleId="BodySmallRight">
    <w:name w:val="Body Small Right"/>
    <w:basedOn w:val="BodyTextRight"/>
    <w:rsid w:val="00A47589"/>
    <w:rPr>
      <w:sz w:val="18"/>
      <w:szCs w:val="18"/>
    </w:rPr>
  </w:style>
  <w:style w:type="paragraph" w:customStyle="1" w:styleId="MarginEdition">
    <w:name w:val="Margin Edition"/>
    <w:basedOn w:val="MarginNote"/>
    <w:rsid w:val="00A47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589"/>
    <w:rPr>
      <w:sz w:val="2"/>
      <w:szCs w:val="2"/>
    </w:rPr>
  </w:style>
  <w:style w:type="character" w:customStyle="1" w:styleId="Small">
    <w:name w:val="Small"/>
    <w:basedOn w:val="DefaultParagraphFont"/>
    <w:rsid w:val="00A47589"/>
    <w:rPr>
      <w:sz w:val="16"/>
    </w:rPr>
  </w:style>
  <w:style w:type="paragraph" w:customStyle="1" w:styleId="WideTable">
    <w:name w:val="Wide Table"/>
    <w:basedOn w:val="Normal"/>
    <w:rsid w:val="00A47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589"/>
  </w:style>
  <w:style w:type="paragraph" w:styleId="Quote">
    <w:name w:val="Quote"/>
    <w:basedOn w:val="Heading1"/>
    <w:link w:val="QuoteChar"/>
    <w:qFormat/>
    <w:rsid w:val="00A47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589"/>
    <w:pPr>
      <w:pageBreakBefore/>
    </w:pPr>
  </w:style>
  <w:style w:type="paragraph" w:customStyle="1" w:styleId="Border">
    <w:name w:val="Border"/>
    <w:basedOn w:val="Normal"/>
    <w:qFormat/>
    <w:rsid w:val="00A47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5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589"/>
    <w:rPr>
      <w:u w:val="single"/>
    </w:rPr>
  </w:style>
  <w:style w:type="character" w:customStyle="1" w:styleId="BoldandItalics">
    <w:name w:val="Bold and Italics"/>
    <w:qFormat/>
    <w:rsid w:val="00A47589"/>
    <w:rPr>
      <w:b/>
      <w:i/>
      <w:u w:val="none"/>
    </w:rPr>
  </w:style>
  <w:style w:type="paragraph" w:styleId="BalloonText">
    <w:name w:val="Balloon Text"/>
    <w:basedOn w:val="Normal"/>
    <w:link w:val="BalloonTextChar"/>
    <w:rsid w:val="00A47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5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5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5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5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5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589"/>
    <w:pPr>
      <w:spacing w:before="0" w:after="0"/>
    </w:pPr>
  </w:style>
  <w:style w:type="paragraph" w:customStyle="1" w:styleId="BodyTextBold">
    <w:name w:val="Body Text Bold"/>
    <w:basedOn w:val="BodyText"/>
    <w:qFormat/>
    <w:rsid w:val="00A47589"/>
    <w:rPr>
      <w:b/>
    </w:rPr>
  </w:style>
  <w:style w:type="character" w:styleId="Hyperlink">
    <w:name w:val="Hyperlink"/>
    <w:basedOn w:val="DefaultParagraphFont"/>
    <w:uiPriority w:val="99"/>
    <w:unhideWhenUsed/>
    <w:rsid w:val="00B214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3614</Characters>
  <Application>Microsoft Office Word</Application>
  <DocSecurity>0</DocSecurity>
  <Lines>90</Lines>
  <Paragraphs>70</Paragraphs>
  <ScaleCrop>false</ScaleCrop>
  <Company>Author-it Software Corporation Ltd.</Company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UETDRSO014 Coordinate operations in a regulated energy market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2022-12-06T06:44:00Z</dcterms:created>
  <dcterms:modified xsi:type="dcterms:W3CDTF">2022-12-06T06:44:00Z</dcterms:modified>
</cp:coreProperties>
</file>