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1F72" w:rsidP="00021F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UETDRSO005 Develop high voltage distribution and sub-transmission switching programs</w:t>
      </w:r>
      <w:r>
        <w:fldChar w:fldCharType="end"/>
      </w:r>
    </w:p>
    <w:p w:rsidR="00021F72" w:rsidP="00021F72">
      <w:pPr>
        <w:pStyle w:val="Version"/>
        <w:sectPr w:rsidSect="00F375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75F4" w:rsidP="00F375F4">
      <w:pPr>
        <w:pStyle w:val="SuperHeading"/>
      </w:pPr>
      <w:r w:rsidRPr="00F375F4">
        <w:t>UETDRSO005 Develop high voltage distribution and sub-transmission switching programs</w:t>
      </w:r>
    </w:p>
    <w:p w:rsidR="00000000" w:rsidRPr="00F375F4" w:rsidP="00F375F4">
      <w:pPr>
        <w:pStyle w:val="Heading1"/>
      </w:pPr>
      <w:bookmarkStart w:id="1" w:name="O_1180143"/>
      <w:bookmarkEnd w:id="1"/>
      <w:r w:rsidRPr="00F375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7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 w:rsidP="00F375F4">
            <w:pPr>
              <w:pStyle w:val="BodyText"/>
            </w:pPr>
            <w:r w:rsidRPr="00F375F4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F375F4" w:rsidP="00F375F4">
      <w:pPr>
        <w:pStyle w:val="NoPaddingFontSize1"/>
      </w:pPr>
    </w:p>
    <w:p w:rsidR="00000000" w:rsidRPr="00F375F4" w:rsidP="00F375F4">
      <w:pPr>
        <w:pStyle w:val="AllowPageBreak"/>
      </w:pPr>
    </w:p>
    <w:p w:rsidR="00000000" w:rsidRPr="00F375F4" w:rsidP="00F375F4">
      <w:pPr>
        <w:pStyle w:val="Heading1"/>
      </w:pPr>
      <w:bookmarkStart w:id="2" w:name="O_1180144"/>
      <w:bookmarkEnd w:id="2"/>
      <w:r w:rsidRPr="00F375F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7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 w:rsidP="00F375F4">
            <w:pPr>
              <w:pStyle w:val="BodyText"/>
            </w:pPr>
            <w:r w:rsidRPr="00F375F4">
              <w:t xml:space="preserve">This unit covers the preparation and/or checking of activities required to </w:t>
            </w:r>
            <w:r w:rsidRPr="00F375F4">
              <w:t xml:space="preserve">place the high voltage (HV) distribution and sub-transmission network in a state in which work can safely be performed whilst minimising customer outages. The format is typically a written sequence of switching items in a pre-defined format. </w:t>
            </w:r>
          </w:p>
          <w:p w:rsidR="00000000" w:rsidRPr="00F375F4" w:rsidP="00F375F4">
            <w:pPr>
              <w:pStyle w:val="BodyText"/>
            </w:pPr>
            <w:r w:rsidRPr="00F375F4">
              <w:t>It includes p</w:t>
            </w:r>
            <w:r w:rsidRPr="00F375F4">
              <w:t xml:space="preserve">lanning outages and taking into account loading of network components. It also includes planning the management of multiple outages on the HV distribution and sub-transmission network and the calculation of network loading conditions to ensure the network </w:t>
            </w:r>
            <w:r w:rsidRPr="00F375F4">
              <w:t>is operating within designed parameters.</w:t>
            </w:r>
          </w:p>
          <w:p w:rsidR="00000000" w:rsidRPr="00F375F4" w:rsidP="00F375F4">
            <w:pPr>
              <w:pStyle w:val="BodyText"/>
            </w:pPr>
            <w:r w:rsidRPr="00F375F4">
              <w:t xml:space="preserve">The application of the skills and knowledge described in this unit may require a licence/registration to practice in the workplace subject to regulations for undertaking of electrical work.  </w:t>
            </w:r>
          </w:p>
          <w:p w:rsidR="00000000" w:rsidRPr="00F375F4" w:rsidP="00F375F4">
            <w:pPr>
              <w:pStyle w:val="BodyText"/>
            </w:pPr>
            <w:r w:rsidRPr="00F375F4">
              <w:t>Other conditions may ap</w:t>
            </w:r>
            <w:r w:rsidRPr="00F375F4">
              <w:t>ply under state and territory legislative and regulatory licensing requirements which must be confirmed prior to commencing this unit.</w:t>
            </w:r>
          </w:p>
        </w:tc>
      </w:tr>
    </w:tbl>
    <w:p w:rsidR="00000000" w:rsidRPr="00F375F4" w:rsidP="00F375F4">
      <w:pPr>
        <w:pStyle w:val="NoPaddingFontSize1"/>
      </w:pPr>
    </w:p>
    <w:p w:rsidR="00000000" w:rsidRPr="00F375F4" w:rsidP="00F375F4">
      <w:pPr>
        <w:pStyle w:val="AllowPageBreak"/>
      </w:pPr>
    </w:p>
    <w:p w:rsidR="00000000" w:rsidRPr="00F375F4" w:rsidP="00F375F4">
      <w:pPr>
        <w:pStyle w:val="Heading1"/>
      </w:pPr>
      <w:bookmarkStart w:id="3" w:name="O_1180145"/>
      <w:bookmarkEnd w:id="3"/>
      <w:r w:rsidRPr="00F375F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7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 w:rsidP="00F375F4">
            <w:pPr>
              <w:pStyle w:val="BodyText"/>
            </w:pPr>
            <w:r w:rsidRPr="00F375F4">
              <w:t>UEENEED104A Use engineering applications software on personal computers</w:t>
            </w:r>
          </w:p>
          <w:p w:rsidR="00000000" w:rsidRPr="00F375F4" w:rsidP="00F375F4">
            <w:pPr>
              <w:pStyle w:val="BodyText"/>
            </w:pPr>
            <w:r w:rsidRPr="00F375F4">
              <w:t>UEENEEE10</w:t>
            </w:r>
            <w:r w:rsidRPr="00F375F4">
              <w:t>1A Apply Occupational Health and Safety regulations, codes and practices in the workplace</w:t>
            </w:r>
          </w:p>
          <w:p w:rsidR="00000000" w:rsidRPr="00F375F4" w:rsidP="00F375F4">
            <w:pPr>
              <w:pStyle w:val="BodyText"/>
            </w:pPr>
            <w:r w:rsidRPr="00F375F4">
              <w:t>UEENEEE102A Fabricate, assemble and dismantle utilities industry components</w:t>
            </w:r>
          </w:p>
          <w:p w:rsidR="00000000" w:rsidRPr="00F375F4" w:rsidP="00F375F4">
            <w:pPr>
              <w:pStyle w:val="BodyText"/>
            </w:pPr>
            <w:r w:rsidRPr="00F375F4">
              <w:t>UEENEEE104A Solve problems in d.c. circuits</w:t>
            </w:r>
          </w:p>
          <w:p w:rsidR="00000000" w:rsidRPr="00F375F4" w:rsidP="00F375F4">
            <w:pPr>
              <w:pStyle w:val="BodyText"/>
            </w:pPr>
            <w:r w:rsidRPr="00F375F4">
              <w:t>UEENEEE107A Use drawings, diagrams, schedules,</w:t>
            </w:r>
            <w:r w:rsidRPr="00F375F4">
              <w:t xml:space="preserve"> standards, codes and specifications</w:t>
            </w:r>
          </w:p>
          <w:p w:rsidR="00000000" w:rsidRPr="00F375F4" w:rsidP="00F375F4">
            <w:pPr>
              <w:pStyle w:val="BodyText"/>
            </w:pPr>
            <w:r w:rsidRPr="00F375F4">
              <w:t>UEENEEE124A Compile and produce an energy sector detailed report</w:t>
            </w:r>
          </w:p>
          <w:p w:rsidR="00000000" w:rsidRPr="00F375F4" w:rsidP="00F375F4">
            <w:pPr>
              <w:pStyle w:val="BodyText"/>
            </w:pPr>
            <w:r w:rsidRPr="00F375F4">
              <w:t>UEENEEE125A Provide engineering solutions for problems in complex multiple path circuits</w:t>
            </w:r>
          </w:p>
          <w:p w:rsidR="00000000" w:rsidRPr="00F375F4" w:rsidP="00F375F4">
            <w:pPr>
              <w:pStyle w:val="BodyText"/>
            </w:pPr>
            <w:r w:rsidRPr="00F375F4">
              <w:t xml:space="preserve">UEENEEE126A Provide solutions to basic engineering computational </w:t>
            </w:r>
            <w:r w:rsidRPr="00F375F4">
              <w:t>problems</w:t>
            </w:r>
          </w:p>
          <w:p w:rsidR="00000000" w:rsidRPr="00F375F4" w:rsidP="00F375F4">
            <w:pPr>
              <w:pStyle w:val="BodyText"/>
            </w:pPr>
            <w:r w:rsidRPr="00F375F4">
              <w:t>UEENEEG101A Solve problems in electromagnetic devices and related circuits</w:t>
            </w:r>
          </w:p>
          <w:p w:rsidR="00000000" w:rsidRPr="00F375F4" w:rsidP="00F375F4">
            <w:pPr>
              <w:pStyle w:val="BodyText"/>
            </w:pPr>
            <w:r w:rsidRPr="00F375F4">
              <w:t>UEENEEG102A Solve problems in low voltage a.c. circuits</w:t>
            </w:r>
          </w:p>
          <w:p w:rsidR="00000000" w:rsidRPr="00F375F4" w:rsidP="00F375F4">
            <w:pPr>
              <w:pStyle w:val="BodyText"/>
            </w:pPr>
            <w:r w:rsidRPr="00F375F4">
              <w:t>UEENEEG149A Provide engineering solutions to problems in complex polyphase power circuits</w:t>
            </w:r>
          </w:p>
          <w:p w:rsidR="00000000" w:rsidRPr="00F375F4" w:rsidP="00F375F4">
            <w:pPr>
              <w:pStyle w:val="BodyText"/>
            </w:pPr>
            <w:r w:rsidRPr="00F375F4">
              <w:t>UETDREL001 Apply environmental requirements</w:t>
            </w:r>
          </w:p>
          <w:p w:rsidR="00000000" w:rsidRPr="00F375F4" w:rsidP="00F375F4">
            <w:pPr>
              <w:pStyle w:val="BodyText"/>
            </w:pPr>
            <w:r w:rsidRPr="00F375F4">
              <w:t>UETDREL005 Work safely in the vicinity of live electrical apparatus</w:t>
            </w:r>
          </w:p>
          <w:p w:rsidR="00000000" w:rsidRPr="00F375F4" w:rsidP="00F375F4">
            <w:pPr>
              <w:pStyle w:val="BodyText"/>
            </w:pPr>
            <w:r w:rsidRPr="00F375F4">
              <w:t>UETDRIS005 Implement &amp; monitor power system environmental &amp; sustainable energy management policies &amp; procedures</w:t>
            </w:r>
          </w:p>
          <w:p w:rsidR="00000000" w:rsidRPr="00F375F4" w:rsidP="00F375F4">
            <w:pPr>
              <w:pStyle w:val="BodyText"/>
            </w:pPr>
            <w:r w:rsidRPr="00F375F4">
              <w:t>UETDRIS006 Implement and monitor</w:t>
            </w:r>
            <w:r w:rsidRPr="00F375F4">
              <w:t xml:space="preserve"> the power system organisational WHS/OHS policies, procedures and programs</w:t>
            </w:r>
          </w:p>
        </w:tc>
      </w:tr>
    </w:tbl>
    <w:p w:rsidR="00000000" w:rsidRPr="00F375F4" w:rsidP="00F375F4">
      <w:pPr>
        <w:pStyle w:val="NoPaddingFontSize1"/>
      </w:pPr>
    </w:p>
    <w:p w:rsidR="00000000" w:rsidRPr="00F375F4" w:rsidP="00F375F4">
      <w:pPr>
        <w:pStyle w:val="AllowPageBreak"/>
      </w:pPr>
    </w:p>
    <w:p w:rsidR="00000000" w:rsidRPr="00F375F4" w:rsidP="00F375F4">
      <w:pPr>
        <w:pStyle w:val="Heading1"/>
      </w:pPr>
      <w:bookmarkStart w:id="4" w:name="O_1180146"/>
      <w:bookmarkEnd w:id="4"/>
      <w:r w:rsidRPr="00F375F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7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 w:rsidP="00F375F4">
            <w:pPr>
              <w:pStyle w:val="BodyText"/>
            </w:pPr>
            <w:r w:rsidRPr="00F375F4">
              <w:t>System Operations</w:t>
            </w:r>
          </w:p>
        </w:tc>
      </w:tr>
    </w:tbl>
    <w:p w:rsidR="00000000" w:rsidRPr="00F375F4" w:rsidP="00F375F4">
      <w:pPr>
        <w:pStyle w:val="NoPaddingFontSize1"/>
      </w:pPr>
    </w:p>
    <w:p w:rsidR="00000000" w:rsidRPr="00F375F4" w:rsidP="00F375F4">
      <w:pPr>
        <w:pStyle w:val="AllowPageBreak"/>
      </w:pPr>
    </w:p>
    <w:p w:rsidR="00000000" w:rsidRPr="00F375F4" w:rsidP="00F375F4">
      <w:pPr>
        <w:pStyle w:val="Heading1"/>
      </w:pPr>
      <w:bookmarkStart w:id="5" w:name="O_1180147"/>
      <w:bookmarkEnd w:id="5"/>
      <w:r w:rsidRPr="00F375F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7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 w:rsidP="00F375F4">
            <w:pPr>
              <w:pStyle w:val="BodyText"/>
            </w:pPr>
            <w:r w:rsidRPr="00F375F4">
              <w:t>Not applicable.</w:t>
            </w:r>
          </w:p>
        </w:tc>
      </w:tr>
    </w:tbl>
    <w:p w:rsidR="00000000" w:rsidRPr="00F375F4" w:rsidP="00F375F4">
      <w:pPr>
        <w:pStyle w:val="NoPaddingFontSize1"/>
      </w:pPr>
    </w:p>
    <w:p w:rsidR="00000000" w:rsidRPr="00F375F4" w:rsidP="00F375F4">
      <w:pPr>
        <w:pStyle w:val="AllowPageBreak"/>
      </w:pPr>
    </w:p>
    <w:p w:rsidR="00000000" w:rsidRPr="00F375F4" w:rsidP="00F375F4">
      <w:pPr>
        <w:pStyle w:val="Heading1"/>
      </w:pPr>
      <w:bookmarkStart w:id="6" w:name="O_1180148"/>
      <w:bookmarkEnd w:id="6"/>
      <w:r w:rsidRPr="00F375F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F37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 w:rsidP="00F375F4">
            <w:pPr>
              <w:pStyle w:val="BodyText"/>
            </w:pPr>
            <w:r w:rsidRPr="00F375F4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rPr>
                <w:rStyle w:val="SpecialBold"/>
              </w:rPr>
              <w:t>PERFORMANCE CRITERIA</w:t>
            </w:r>
          </w:p>
        </w:tc>
      </w:tr>
      <w:tr w:rsidTr="00F37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t>Performance criteria describe the performance needed to demonstrate achievement of the element.</w:t>
            </w:r>
          </w:p>
        </w:tc>
      </w:tr>
      <w:tr w:rsidTr="00F37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 w:rsidP="00F375F4">
            <w:pPr>
              <w:pStyle w:val="BodyText"/>
            </w:pPr>
            <w:r w:rsidRPr="00F375F4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 w:rsidP="00F375F4">
            <w:pPr>
              <w:pStyle w:val="BodyText"/>
            </w:pPr>
            <w:r w:rsidRPr="00F375F4">
              <w:rPr>
                <w:rStyle w:val="SpecialBold"/>
              </w:rPr>
              <w:t>Plan for the preparation of HV distribution and sub-transmission switching programs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t>W</w:t>
            </w:r>
            <w:r w:rsidRPr="00F375F4">
              <w:t>ork health and safety (WHS)/occupational health and safety (OHS) practices/procedures and environmental and sustainable energy procedures, which may influence the preparation of HV distribution and sub-transmission switching system programs, are reviewed a</w:t>
            </w:r>
            <w:r w:rsidRPr="00F375F4">
              <w:t>nd determined</w:t>
            </w:r>
          </w:p>
        </w:tc>
      </w:tr>
      <w:tr w:rsidTr="00F37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t>Purpose for the preparation of HV distribution and sub-transmission switching programs is established after data is analysed and expected outcomes of the work are confirmed with appropriate personnel</w:t>
            </w:r>
          </w:p>
        </w:tc>
      </w:tr>
      <w:tr w:rsidTr="00F37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t>Organisational established procedures on policies and specifications for the preparation of HV distribution and sub-transmission switching programs are obtained or established with appropriate personnel</w:t>
            </w:r>
          </w:p>
        </w:tc>
      </w:tr>
      <w:tr w:rsidTr="00F37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t>Testing/switching procedures are discussed wit</w:t>
            </w:r>
            <w:r w:rsidRPr="00F375F4">
              <w:t>h/directed to the appropriate personnel in order to ascertain the project brief</w:t>
            </w:r>
          </w:p>
        </w:tc>
      </w:tr>
      <w:tr w:rsidTr="00F37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t xml:space="preserve">Testing/switching parameters are established from organisational established procedures and policies and </w:t>
            </w:r>
            <w:r w:rsidRPr="00F375F4">
              <w:t>specifications</w:t>
            </w:r>
          </w:p>
        </w:tc>
      </w:tr>
      <w:tr w:rsidTr="00F37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t>Equipment/tools and personal protective eq</w:t>
            </w:r>
            <w:r w:rsidRPr="00F375F4">
              <w:t>uipment (PPE) are selected based on specified performance criteria and established procedures</w:t>
            </w:r>
          </w:p>
        </w:tc>
      </w:tr>
      <w:tr w:rsidTr="00F37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t>Work roles and tasks are allocated according to requirements and individual competencies</w:t>
            </w:r>
          </w:p>
        </w:tc>
      </w:tr>
      <w:tr w:rsidTr="00F37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t>Work is prioritised and sequenced for the most efficient/effective outcome, completed within an acceptable timeframe, to a quality standard and in accordance with established procedures</w:t>
            </w:r>
          </w:p>
        </w:tc>
      </w:tr>
      <w:tr w:rsidTr="00F37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t>Liaison and communication issues with others/authorised personn</w:t>
            </w:r>
            <w:r w:rsidRPr="00F375F4">
              <w:t>el, authorities, clients and landowners are resolved and activities coordinated to carry out work</w:t>
            </w:r>
          </w:p>
        </w:tc>
      </w:tr>
      <w:tr w:rsidTr="00F37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t>Risk control measures are identified, prioritised and evaluated against the work schedule</w:t>
            </w:r>
          </w:p>
        </w:tc>
      </w:tr>
      <w:tr w:rsidTr="00F37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t>Relevant work permits are secured to coordinate the performance of work according to requirements and/or established procedures</w:t>
            </w:r>
          </w:p>
        </w:tc>
      </w:tr>
      <w:tr w:rsidTr="00F37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 w:rsidP="00F375F4">
            <w:pPr>
              <w:pStyle w:val="BodyText"/>
            </w:pPr>
            <w:r w:rsidRPr="00F375F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 w:rsidP="00F375F4">
            <w:pPr>
              <w:pStyle w:val="BodyText"/>
            </w:pPr>
            <w:r w:rsidRPr="00F375F4">
              <w:rPr>
                <w:rStyle w:val="SpecialBold"/>
              </w:rPr>
              <w:t>Carry out the preparation of HV distribution and sub-transmission switching programs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t>Circuit/systems modelling is used to evaluate alternative proposals in accordance with established procedures</w:t>
            </w:r>
          </w:p>
        </w:tc>
      </w:tr>
      <w:tr w:rsidTr="00F37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t>WHS/OHS and sustainable energy principles, functionality and practices to reduce the incidents of accidents and minimise waste are incorpor</w:t>
            </w:r>
            <w:r w:rsidRPr="00F375F4">
              <w:t>ated into the project in accordance with requirements and/or established procedures</w:t>
            </w:r>
          </w:p>
        </w:tc>
      </w:tr>
      <w:tr w:rsidTr="00F37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t>Preparation of HV distribution and sub-transmission switching program decisions are made on the basis of safety and effective outcomes according to requirements and/</w:t>
            </w:r>
            <w:r w:rsidRPr="00F375F4">
              <w:t>or established procedures</w:t>
            </w:r>
          </w:p>
        </w:tc>
      </w:tr>
      <w:tr w:rsidTr="00F37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t>Mathematical and/or engineering models of the program is used to analyse the effectiveness of the finished project in accordance with requirements and established procedures</w:t>
            </w:r>
          </w:p>
        </w:tc>
      </w:tr>
      <w:tr w:rsidTr="00F37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t>Technical advice is given regarding potential hazards, safety risks and control measures so that monitoring and preventative action can be undertaken and/or appropriate authorities consulted, where necessary, in accordance with requirements and established</w:t>
            </w:r>
            <w:r w:rsidRPr="00F375F4">
              <w:t xml:space="preserve"> procedures</w:t>
            </w:r>
          </w:p>
        </w:tc>
      </w:tr>
      <w:tr w:rsidTr="00F37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F37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t>Testing of the p</w:t>
            </w:r>
            <w:r w:rsidRPr="00F375F4">
              <w:t>rogram is undertaken according to requirements and established procedures</w:t>
            </w:r>
          </w:p>
        </w:tc>
      </w:tr>
      <w:tr w:rsidTr="00F37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t>Work teams/groups are arranged/coordinated/evaluated to ensure planned goals are met according to established procedures</w:t>
            </w:r>
          </w:p>
        </w:tc>
      </w:tr>
      <w:tr w:rsidTr="00F37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t>Solutions to non-routine problems are identified and actioned using acquired essential knowledge and associated skills according to requirements</w:t>
            </w:r>
          </w:p>
        </w:tc>
      </w:tr>
      <w:tr w:rsidTr="00F37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t>Quality of work is monitored against personal performance agreement and/or established organisational a</w:t>
            </w:r>
            <w:r w:rsidRPr="00F375F4">
              <w:t>nd professional standards</w:t>
            </w:r>
          </w:p>
        </w:tc>
      </w:tr>
      <w:tr w:rsidTr="00F37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t>Strategic plans are developed incorporating organisation initiatives in accordance with established procedures</w:t>
            </w:r>
          </w:p>
        </w:tc>
      </w:tr>
      <w:tr w:rsidTr="00F37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 w:rsidP="00F375F4">
            <w:pPr>
              <w:pStyle w:val="BodyText"/>
            </w:pPr>
            <w:r w:rsidRPr="00F375F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 w:rsidP="00F375F4">
            <w:pPr>
              <w:pStyle w:val="BodyText"/>
            </w:pPr>
            <w:r w:rsidRPr="00F375F4">
              <w:rPr>
                <w:rStyle w:val="SpecialBold"/>
              </w:rPr>
              <w:t>Complete the preparation of HV distribution and sub-transmission switching programs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t xml:space="preserve">Final review of the </w:t>
            </w:r>
            <w:r w:rsidRPr="00F375F4">
              <w:t>switching program is undertaken to ensure it complies with all requirements and includes all specifications and documentations needed to complete the project</w:t>
            </w:r>
          </w:p>
        </w:tc>
      </w:tr>
      <w:tr w:rsidTr="00F37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t xml:space="preserve">Appropriate personnel are notified of completion </w:t>
            </w:r>
            <w:r w:rsidRPr="00F375F4">
              <w:t>and reports and/or completion documents are finalised/commissioned</w:t>
            </w:r>
          </w:p>
        </w:tc>
      </w:tr>
      <w:tr w:rsidTr="00F37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t>Reports and/or completion documents are submitted to relevant personnel/organisations for approval and, where applicable, statutory or regulatory approval</w:t>
            </w:r>
          </w:p>
        </w:tc>
      </w:tr>
      <w:tr w:rsidTr="00F37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F4">
            <w:pPr>
              <w:pStyle w:val="BodyText"/>
              <w:rPr>
                <w:lang w:val="en-NZ"/>
              </w:rPr>
            </w:pPr>
            <w:r w:rsidRPr="00F375F4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 w:rsidP="00F375F4">
            <w:pPr>
              <w:pStyle w:val="BodyText"/>
            </w:pPr>
            <w:r w:rsidRPr="00F375F4">
              <w:t>Approved copies of p</w:t>
            </w:r>
            <w:r w:rsidRPr="00F375F4">
              <w:t>repared HV distribution and sub-transmission switching program documents are issued and records are updated in accordance with established procedures</w:t>
            </w:r>
          </w:p>
        </w:tc>
      </w:tr>
    </w:tbl>
    <w:p w:rsidR="00000000" w:rsidRPr="00F375F4" w:rsidP="00F375F4">
      <w:pPr>
        <w:pStyle w:val="NoPaddingFontSize1"/>
      </w:pPr>
    </w:p>
    <w:p w:rsidR="00000000" w:rsidRPr="00F375F4" w:rsidP="00F375F4">
      <w:pPr>
        <w:pStyle w:val="AllowPageBreak"/>
      </w:pPr>
    </w:p>
    <w:p w:rsidR="00000000" w:rsidRPr="00F375F4" w:rsidP="00F375F4">
      <w:pPr>
        <w:pStyle w:val="Heading1"/>
      </w:pPr>
      <w:bookmarkStart w:id="7" w:name="O_1180149"/>
      <w:bookmarkEnd w:id="7"/>
      <w:r w:rsidRPr="00F375F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7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 w:rsidP="00F375F4">
            <w:pPr>
              <w:pStyle w:val="BodyText"/>
            </w:pPr>
            <w:r w:rsidRPr="00F375F4">
              <w:t>Foundation skills essential to performance are explicit in the perf</w:t>
            </w:r>
            <w:r w:rsidRPr="00F375F4">
              <w:t>ormance criteria of this unit of competency.</w:t>
            </w:r>
          </w:p>
        </w:tc>
      </w:tr>
    </w:tbl>
    <w:p w:rsidR="00000000" w:rsidRPr="00F375F4" w:rsidP="00F375F4">
      <w:pPr>
        <w:pStyle w:val="NoPaddingFontSize1"/>
      </w:pPr>
    </w:p>
    <w:p w:rsidR="00000000" w:rsidRPr="00F375F4" w:rsidP="00F375F4">
      <w:pPr>
        <w:pStyle w:val="AllowPageBreak"/>
      </w:pPr>
    </w:p>
    <w:p w:rsidR="00000000" w:rsidRPr="00F375F4" w:rsidP="00F375F4">
      <w:pPr>
        <w:pStyle w:val="Heading1"/>
      </w:pPr>
      <w:bookmarkStart w:id="8" w:name="O_1180150"/>
      <w:bookmarkEnd w:id="8"/>
      <w:r w:rsidRPr="00F375F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7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 w:rsidP="00F375F4">
            <w:pPr>
              <w:pStyle w:val="BodyText"/>
            </w:pPr>
            <w:r w:rsidRPr="00F375F4">
              <w:t>Range is restricted to essential operating conditions and any other variables essential to the work environment.</w:t>
            </w:r>
          </w:p>
          <w:p w:rsidR="00000000" w:rsidRPr="00F375F4" w:rsidP="00F375F4">
            <w:pPr>
              <w:pStyle w:val="BodyText"/>
            </w:pPr>
            <w:r w:rsidRPr="00F375F4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F375F4" w:rsidP="00F375F4">
      <w:pPr>
        <w:pStyle w:val="NoPaddingFontSize1"/>
      </w:pPr>
    </w:p>
    <w:p w:rsidR="00000000" w:rsidRPr="00F375F4" w:rsidP="00F375F4">
      <w:pPr>
        <w:pStyle w:val="AllowPageBreak"/>
      </w:pPr>
    </w:p>
    <w:p w:rsidR="00000000" w:rsidRPr="00F375F4" w:rsidP="00F375F4">
      <w:pPr>
        <w:pStyle w:val="Heading1"/>
      </w:pPr>
      <w:bookmarkStart w:id="9" w:name="O_1180151"/>
      <w:bookmarkEnd w:id="9"/>
      <w:r w:rsidRPr="00F375F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7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F4" w:rsidP="00F375F4">
            <w:pPr>
              <w:pStyle w:val="BodyText"/>
            </w:pPr>
            <w:r w:rsidRPr="00F375F4">
              <w:t>This unit replaces and is equivalent to UETTDRSO37 Develop hig</w:t>
            </w:r>
            <w:r w:rsidRPr="00F375F4">
              <w:t>h voltage distribution and subtransmission switching programs.</w:t>
            </w:r>
          </w:p>
        </w:tc>
      </w:tr>
    </w:tbl>
    <w:p w:rsidR="00000000" w:rsidRPr="00F375F4" w:rsidP="00F375F4">
      <w:pPr>
        <w:pStyle w:val="NoPaddingFontSize1"/>
      </w:pPr>
    </w:p>
    <w:p w:rsidR="00000000" w:rsidRPr="00F375F4" w:rsidP="00F375F4">
      <w:pPr>
        <w:pStyle w:val="AllowPageBreak"/>
      </w:pPr>
    </w:p>
    <w:p w:rsidR="00000000" w:rsidRPr="00F375F4" w:rsidP="00F375F4">
      <w:pPr>
        <w:pStyle w:val="Heading1"/>
      </w:pPr>
      <w:bookmarkStart w:id="10" w:name="O_1180158"/>
      <w:bookmarkEnd w:id="10"/>
      <w:r w:rsidRPr="00F375F4">
        <w:t>Links</w:t>
      </w:r>
    </w:p>
    <w:p w:rsidR="00000000" w:rsidRPr="00F375F4" w:rsidP="00021F72">
      <w:pPr>
        <w:pStyle w:val="BodyText"/>
      </w:pPr>
      <w:r w:rsidRPr="00F375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171E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375F4" w:rsidP="00F375F4"/>
    <w:sectPr w:rsidSect="00F375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5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5F4" w:rsidRPr="00021F72" w:rsidP="00021F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5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F72" w:rsidP="00F375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1F72" w:rsidP="00F375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21F72" w:rsidP="00F375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5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F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75F4" w:rsidRPr="00021F72" w:rsidP="00021F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5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F72" w:rsidRPr="002D2AF8" w:rsidP="00F375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UETDRSO005 Develop high voltage distribution and sub-transmission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021F72" w:rsidP="00F375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5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75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75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75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75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75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75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75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75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75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75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75F4"/>
  </w:style>
  <w:style w:type="character" w:customStyle="1" w:styleId="Heading1Char">
    <w:name w:val="Heading 1 Char"/>
    <w:basedOn w:val="DefaultParagraphFont"/>
    <w:link w:val="Heading1"/>
    <w:rsid w:val="00F375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75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75F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375F4"/>
    <w:rPr>
      <w:b/>
      <w:spacing w:val="0"/>
    </w:rPr>
  </w:style>
  <w:style w:type="paragraph" w:customStyle="1" w:styleId="SuperHeading">
    <w:name w:val="SuperHeading"/>
    <w:basedOn w:val="Normal"/>
    <w:rsid w:val="00F375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75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375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75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75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75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75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75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75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75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75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75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75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75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75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75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75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75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75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75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75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75F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375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75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75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75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75F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75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75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75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75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75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75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75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75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75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75F4"/>
    <w:rPr>
      <w:i/>
    </w:rPr>
  </w:style>
  <w:style w:type="paragraph" w:styleId="Caption">
    <w:name w:val="caption"/>
    <w:basedOn w:val="BodyText"/>
    <w:next w:val="Normal"/>
    <w:qFormat/>
    <w:rsid w:val="00F375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75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75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75F4"/>
  </w:style>
  <w:style w:type="paragraph" w:styleId="TableofFigures">
    <w:name w:val="table of figures"/>
    <w:basedOn w:val="Normal"/>
    <w:next w:val="Normal"/>
    <w:semiHidden/>
    <w:rsid w:val="00F375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75F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375F4"/>
    <w:rPr>
      <w:rFonts w:ascii="Wingdings" w:hAnsi="Wingdings"/>
    </w:rPr>
  </w:style>
  <w:style w:type="paragraph" w:customStyle="1" w:styleId="TableHeading">
    <w:name w:val="Table Heading"/>
    <w:basedOn w:val="HeadingBase"/>
    <w:rsid w:val="00F375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75F4"/>
    <w:rPr>
      <w:color w:val="0033CC"/>
      <w:u w:val="none"/>
    </w:rPr>
  </w:style>
  <w:style w:type="paragraph" w:customStyle="1" w:styleId="BodyTextRight">
    <w:name w:val="Body Text Right"/>
    <w:basedOn w:val="BodyText"/>
    <w:rsid w:val="00F375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75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75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75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75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75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75F4"/>
    <w:rPr>
      <w:sz w:val="32"/>
    </w:rPr>
  </w:style>
  <w:style w:type="paragraph" w:customStyle="1" w:styleId="HeadingProcedure">
    <w:name w:val="Heading Procedure"/>
    <w:basedOn w:val="HeadingBase"/>
    <w:next w:val="Normal"/>
    <w:rsid w:val="00F375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75F4"/>
    <w:pPr>
      <w:spacing w:before="60" w:after="60"/>
    </w:pPr>
  </w:style>
  <w:style w:type="paragraph" w:styleId="ListContinue">
    <w:name w:val="List Continue"/>
    <w:basedOn w:val="List"/>
    <w:rsid w:val="00F375F4"/>
    <w:pPr>
      <w:ind w:firstLine="0"/>
    </w:pPr>
  </w:style>
  <w:style w:type="paragraph" w:customStyle="1" w:styleId="ListNote">
    <w:name w:val="List Note"/>
    <w:basedOn w:val="List"/>
    <w:rsid w:val="00F375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75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75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75F4"/>
    <w:rPr>
      <w:rFonts w:ascii="Courier New" w:hAnsi="Courier New"/>
    </w:rPr>
  </w:style>
  <w:style w:type="paragraph" w:customStyle="1" w:styleId="NoteBullet">
    <w:name w:val="Note Bullet"/>
    <w:basedOn w:val="Note"/>
    <w:rsid w:val="00F375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75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75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75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75F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375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75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75F4"/>
    <w:rPr>
      <w:b/>
      <w:smallCaps/>
    </w:rPr>
  </w:style>
  <w:style w:type="paragraph" w:customStyle="1" w:styleId="TableListNumber">
    <w:name w:val="Table List Number"/>
    <w:basedOn w:val="ListNumber"/>
    <w:rsid w:val="00F375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75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75F4"/>
    <w:pPr>
      <w:numPr>
        <w:numId w:val="7"/>
      </w:numPr>
    </w:pPr>
  </w:style>
  <w:style w:type="paragraph" w:customStyle="1" w:styleId="ListAlpha2">
    <w:name w:val="List Alpha 2"/>
    <w:basedOn w:val="List2"/>
    <w:rsid w:val="00F375F4"/>
    <w:pPr>
      <w:numPr>
        <w:numId w:val="6"/>
      </w:numPr>
    </w:pPr>
  </w:style>
  <w:style w:type="paragraph" w:styleId="List2">
    <w:name w:val="List 2"/>
    <w:basedOn w:val="BodyText"/>
    <w:rsid w:val="00F375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75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75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75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75F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75F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375F4"/>
    <w:pPr>
      <w:numPr>
        <w:numId w:val="2"/>
      </w:numPr>
    </w:pPr>
  </w:style>
  <w:style w:type="paragraph" w:styleId="ListContinue2">
    <w:name w:val="List Continue 2"/>
    <w:basedOn w:val="List2"/>
    <w:rsid w:val="00F375F4"/>
    <w:pPr>
      <w:ind w:firstLine="0"/>
    </w:pPr>
  </w:style>
  <w:style w:type="paragraph" w:styleId="ListContinue3">
    <w:name w:val="List Continue 3"/>
    <w:basedOn w:val="List3"/>
    <w:rsid w:val="00F375F4"/>
    <w:pPr>
      <w:ind w:left="1021" w:firstLine="0"/>
    </w:pPr>
  </w:style>
  <w:style w:type="paragraph" w:styleId="ListContinue4">
    <w:name w:val="List Continue 4"/>
    <w:basedOn w:val="List4"/>
    <w:rsid w:val="00F375F4"/>
    <w:pPr>
      <w:ind w:firstLine="0"/>
    </w:pPr>
  </w:style>
  <w:style w:type="paragraph" w:styleId="ListContinue5">
    <w:name w:val="List Continue 5"/>
    <w:basedOn w:val="List5"/>
    <w:rsid w:val="00F375F4"/>
    <w:pPr>
      <w:ind w:firstLine="0"/>
    </w:pPr>
  </w:style>
  <w:style w:type="paragraph" w:styleId="ListNumber3">
    <w:name w:val="List Number 3"/>
    <w:basedOn w:val="List3"/>
    <w:rsid w:val="00F375F4"/>
    <w:pPr>
      <w:numPr>
        <w:numId w:val="3"/>
      </w:numPr>
    </w:pPr>
  </w:style>
  <w:style w:type="paragraph" w:styleId="ListNumber4">
    <w:name w:val="List Number 4"/>
    <w:basedOn w:val="List4"/>
    <w:rsid w:val="00F375F4"/>
    <w:pPr>
      <w:numPr>
        <w:numId w:val="4"/>
      </w:numPr>
    </w:pPr>
  </w:style>
  <w:style w:type="paragraph" w:styleId="ListNumber5">
    <w:name w:val="List Number 5"/>
    <w:basedOn w:val="List5"/>
    <w:rsid w:val="00F375F4"/>
    <w:pPr>
      <w:numPr>
        <w:numId w:val="5"/>
      </w:numPr>
    </w:pPr>
  </w:style>
  <w:style w:type="paragraph" w:styleId="BlockText">
    <w:name w:val="Block Text"/>
    <w:basedOn w:val="Normal"/>
    <w:rsid w:val="00F375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75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75F4"/>
    <w:rPr>
      <w:sz w:val="16"/>
      <w:vertAlign w:val="superscript"/>
    </w:rPr>
  </w:style>
  <w:style w:type="character" w:customStyle="1" w:styleId="Symbols">
    <w:name w:val="Symbols"/>
    <w:basedOn w:val="DefaultParagraphFont"/>
    <w:rsid w:val="00F375F4"/>
    <w:rPr>
      <w:rFonts w:ascii="Symbol" w:hAnsi="Symbol"/>
    </w:rPr>
  </w:style>
  <w:style w:type="character" w:customStyle="1" w:styleId="MenuOptions">
    <w:name w:val="Menu Options"/>
    <w:basedOn w:val="DefaultParagraphFont"/>
    <w:rsid w:val="00F375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75F4"/>
    <w:rPr>
      <w:b/>
    </w:rPr>
  </w:style>
  <w:style w:type="character" w:customStyle="1" w:styleId="Underlined">
    <w:name w:val="Underlined"/>
    <w:basedOn w:val="DefaultParagraphFont"/>
    <w:rsid w:val="00F375F4"/>
    <w:rPr>
      <w:u w:val="single"/>
    </w:rPr>
  </w:style>
  <w:style w:type="paragraph" w:customStyle="1" w:styleId="TableBodyTextRight">
    <w:name w:val="Table Body Text Right"/>
    <w:basedOn w:val="TableBodyText"/>
    <w:rsid w:val="00F375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75F4"/>
    <w:rPr>
      <w:sz w:val="18"/>
    </w:rPr>
  </w:style>
  <w:style w:type="paragraph" w:customStyle="1" w:styleId="BodySmallRight">
    <w:name w:val="Body Small Right"/>
    <w:basedOn w:val="BodyTextRight"/>
    <w:rsid w:val="00F375F4"/>
    <w:rPr>
      <w:sz w:val="18"/>
      <w:szCs w:val="18"/>
    </w:rPr>
  </w:style>
  <w:style w:type="paragraph" w:customStyle="1" w:styleId="MarginEdition">
    <w:name w:val="Margin Edition"/>
    <w:basedOn w:val="MarginNote"/>
    <w:rsid w:val="00F375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75F4"/>
    <w:rPr>
      <w:sz w:val="2"/>
      <w:szCs w:val="2"/>
    </w:rPr>
  </w:style>
  <w:style w:type="character" w:customStyle="1" w:styleId="Small">
    <w:name w:val="Small"/>
    <w:basedOn w:val="DefaultParagraphFont"/>
    <w:rsid w:val="00F375F4"/>
    <w:rPr>
      <w:sz w:val="16"/>
    </w:rPr>
  </w:style>
  <w:style w:type="paragraph" w:customStyle="1" w:styleId="WideTable">
    <w:name w:val="Wide Table"/>
    <w:basedOn w:val="Normal"/>
    <w:rsid w:val="00F375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75F4"/>
  </w:style>
  <w:style w:type="paragraph" w:styleId="Quote">
    <w:name w:val="Quote"/>
    <w:basedOn w:val="Heading1"/>
    <w:link w:val="QuoteChar"/>
    <w:qFormat/>
    <w:rsid w:val="00F375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75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75F4"/>
    <w:pPr>
      <w:pageBreakBefore/>
    </w:pPr>
  </w:style>
  <w:style w:type="paragraph" w:customStyle="1" w:styleId="Border">
    <w:name w:val="Border"/>
    <w:basedOn w:val="Normal"/>
    <w:qFormat/>
    <w:rsid w:val="00F375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75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5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5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75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75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75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75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75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75F4"/>
    <w:rPr>
      <w:u w:val="single"/>
    </w:rPr>
  </w:style>
  <w:style w:type="character" w:customStyle="1" w:styleId="BoldandItalics">
    <w:name w:val="Bold and Italics"/>
    <w:qFormat/>
    <w:rsid w:val="00F375F4"/>
    <w:rPr>
      <w:b/>
      <w:i/>
      <w:u w:val="none"/>
    </w:rPr>
  </w:style>
  <w:style w:type="paragraph" w:styleId="BalloonText">
    <w:name w:val="Balloon Text"/>
    <w:basedOn w:val="Normal"/>
    <w:link w:val="BalloonTextChar"/>
    <w:rsid w:val="00F375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75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75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75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75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75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75F4"/>
    <w:pPr>
      <w:spacing w:before="0" w:after="0"/>
    </w:pPr>
  </w:style>
  <w:style w:type="paragraph" w:customStyle="1" w:styleId="BodyTextBold">
    <w:name w:val="Body Text Bold"/>
    <w:basedOn w:val="BodyText"/>
    <w:qFormat/>
    <w:rsid w:val="00F375F4"/>
    <w:rPr>
      <w:b/>
    </w:rPr>
  </w:style>
  <w:style w:type="character" w:styleId="Hyperlink">
    <w:name w:val="Hyperlink"/>
    <w:basedOn w:val="DefaultParagraphFont"/>
    <w:uiPriority w:val="99"/>
    <w:unhideWhenUsed/>
    <w:rsid w:val="00021F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1066</Words>
  <Characters>7169</Characters>
  <Application>Microsoft Office Word</Application>
  <DocSecurity>0</DocSecurity>
  <Lines>275</Lines>
  <Paragraphs>121</Paragraphs>
  <ScaleCrop>false</ScaleCrop>
  <Company>Author-it Software Corporation Ltd.</Company>
  <LinksUpToDate>false</LinksUpToDate>
  <CharactersWithSpaces>8114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UETDRSO005 Develop high voltage distribution and sub-transmission switching programs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2022-06-03T04:39:00Z</dcterms:created>
  <dcterms:modified xsi:type="dcterms:W3CDTF">2022-06-03T04:39:00Z</dcterms:modified>
</cp:coreProperties>
</file>