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4948" w:rsidP="00F24948">
      <w:pPr>
        <w:pStyle w:val="Title"/>
      </w:pPr>
      <w:r>
        <w:fldChar w:fldCharType="begin"/>
      </w:r>
      <w:r>
        <w:instrText xml:space="preserve"> TITLE   \* MERGEFORMAT </w:instrText>
      </w:r>
      <w:r>
        <w:fldChar w:fldCharType="separate"/>
      </w:r>
      <w:r>
        <w:t>UETDRSB016 Maintain synchronous condensers</w:t>
      </w:r>
      <w:r>
        <w:fldChar w:fldCharType="end"/>
      </w:r>
    </w:p>
    <w:p w:rsidR="00F24948" w:rsidP="00F24948">
      <w:pPr>
        <w:pStyle w:val="Version"/>
        <w:sectPr w:rsidSect="00E84F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4FE8" w:rsidP="00E84FE8">
      <w:pPr>
        <w:pStyle w:val="SuperHeading"/>
      </w:pPr>
      <w:r w:rsidRPr="00E84FE8">
        <w:t>UETDRSB016 Maintain synchronous condensers</w:t>
      </w:r>
    </w:p>
    <w:p w:rsidR="00000000" w:rsidRPr="00E84FE8" w:rsidP="00E84FE8">
      <w:pPr>
        <w:pStyle w:val="Heading1"/>
      </w:pPr>
      <w:bookmarkStart w:id="1" w:name="O_1237446"/>
      <w:bookmarkEnd w:id="1"/>
      <w:r w:rsidRPr="00E84FE8">
        <w:t>Modification History</w:t>
      </w:r>
    </w:p>
    <w:tbl>
      <w:tblPr>
        <w:tblW w:w="9497" w:type="dxa"/>
        <w:tblLayout w:type="fixed"/>
        <w:tblCellMar>
          <w:left w:w="62" w:type="dxa"/>
          <w:right w:w="62" w:type="dxa"/>
        </w:tblCellMar>
        <w:tblLook w:val="0000"/>
      </w:tblPr>
      <w:tblGrid>
        <w:gridCol w:w="9497"/>
      </w:tblGrid>
      <w:tr w:rsidTr="00E84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FE8" w:rsidP="00E84FE8">
            <w:pPr>
              <w:pStyle w:val="BodyText"/>
            </w:pPr>
            <w:r w:rsidRPr="00E84FE8">
              <w:t>Release 1. This is the first release of this unit of competency in the UET Transmission, Distribution and Rail Sector Training Package Release 4.0.</w:t>
            </w:r>
          </w:p>
        </w:tc>
      </w:tr>
    </w:tbl>
    <w:p w:rsidR="00000000" w:rsidRPr="00E84FE8" w:rsidP="00E84FE8">
      <w:pPr>
        <w:pStyle w:val="NoPaddingFontSize1"/>
      </w:pPr>
    </w:p>
    <w:p w:rsidR="00000000" w:rsidRPr="00E84FE8" w:rsidP="00E84FE8">
      <w:pPr>
        <w:pStyle w:val="AllowPageBreak"/>
      </w:pPr>
    </w:p>
    <w:p w:rsidR="00000000" w:rsidRPr="00E84FE8" w:rsidP="00E84FE8">
      <w:pPr>
        <w:pStyle w:val="Heading1"/>
      </w:pPr>
      <w:bookmarkStart w:id="2" w:name="O_1237447"/>
      <w:bookmarkEnd w:id="2"/>
      <w:r w:rsidRPr="00E84FE8">
        <w:t>Application</w:t>
      </w:r>
    </w:p>
    <w:tbl>
      <w:tblPr>
        <w:tblW w:w="9497" w:type="dxa"/>
        <w:tblLayout w:type="fixed"/>
        <w:tblCellMar>
          <w:left w:w="62" w:type="dxa"/>
          <w:right w:w="62" w:type="dxa"/>
        </w:tblCellMar>
        <w:tblLook w:val="0000"/>
      </w:tblPr>
      <w:tblGrid>
        <w:gridCol w:w="9497"/>
      </w:tblGrid>
      <w:tr w:rsidTr="00E84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FE8" w:rsidP="00E84FE8">
            <w:pPr>
              <w:pStyle w:val="BodyText"/>
            </w:pPr>
            <w:r w:rsidRPr="00E84FE8">
              <w:t>This unit includes the skills and knowledge required t</w:t>
            </w:r>
            <w:r w:rsidRPr="00E84FE8">
              <w:t>o maintain synchronous condensers in the electricity supply industry (ESI).</w:t>
            </w:r>
          </w:p>
          <w:p w:rsidR="00000000" w:rsidRPr="00E84FE8" w:rsidP="00E84FE8">
            <w:pPr>
              <w:pStyle w:val="BodyText"/>
            </w:pPr>
            <w:r w:rsidRPr="00E84FE8">
              <w:t>It includes synchronous condenser principles including, types, operating constraints, ratings, control systems, excitation and synchronising.</w:t>
            </w:r>
          </w:p>
          <w:p w:rsidR="00000000" w:rsidRPr="00E84FE8" w:rsidP="00E84FE8">
            <w:pPr>
              <w:pStyle w:val="BodyText"/>
            </w:pPr>
            <w:r w:rsidRPr="00E84FE8">
              <w:t>It also includes components, including</w:t>
            </w:r>
            <w:r w:rsidRPr="00E84FE8">
              <w:t xml:space="preserve"> starters, control and protection systems, substation fundamentals, cooling and lubrication systems.</w:t>
            </w:r>
          </w:p>
          <w:p w:rsidR="00000000" w:rsidRPr="00E84FE8" w:rsidP="00E84FE8">
            <w:pPr>
              <w:pStyle w:val="BodyText"/>
            </w:pPr>
            <w:r w:rsidRPr="00E84FE8">
              <w:rPr>
                <w:rStyle w:val="Emphasis"/>
              </w:rPr>
              <w:t>Note: Entry into this unit is for users who:</w:t>
            </w:r>
          </w:p>
          <w:p w:rsidR="00000000" w:rsidRPr="00E84FE8" w:rsidP="00E84FE8">
            <w:pPr>
              <w:pStyle w:val="ListBullet"/>
            </w:pPr>
            <w:r w:rsidRPr="00E84FE8">
              <w:rPr>
                <w:rStyle w:val="Emphasis"/>
              </w:rPr>
              <w:t>hold the unit UETDREL005 Work safely in the vicinity of live electrical apparatus or equivalent,</w:t>
            </w:r>
          </w:p>
          <w:p w:rsidR="00000000" w:rsidRPr="00E84FE8" w:rsidP="00E84FE8">
            <w:pPr>
              <w:pStyle w:val="BodyText"/>
            </w:pPr>
            <w:r w:rsidRPr="00E84FE8">
              <w:rPr>
                <w:rStyle w:val="Emphasis"/>
              </w:rPr>
              <w:t>and</w:t>
            </w:r>
          </w:p>
          <w:p w:rsidR="00000000" w:rsidRPr="00E84FE8" w:rsidP="00E84FE8">
            <w:pPr>
              <w:pStyle w:val="ListBullet"/>
            </w:pPr>
            <w:r w:rsidRPr="00E84FE8">
              <w:rPr>
                <w:rStyle w:val="Emphasis"/>
              </w:rPr>
              <w:t>hold an</w:t>
            </w:r>
            <w:r w:rsidRPr="00E84FE8">
              <w:rPr>
                <w:rStyle w:val="Emphasis"/>
              </w:rPr>
              <w:t xml:space="preserve"> Electrician licence or the equivalent issued in an Australian state or territory,</w:t>
            </w:r>
          </w:p>
          <w:p w:rsidR="00000000" w:rsidRPr="00E84FE8" w:rsidP="00E84FE8">
            <w:pPr>
              <w:pStyle w:val="BodyText"/>
            </w:pPr>
            <w:r w:rsidRPr="00E84FE8">
              <w:rPr>
                <w:rStyle w:val="Emphasis"/>
              </w:rPr>
              <w:t xml:space="preserve">or </w:t>
            </w:r>
          </w:p>
          <w:p w:rsidR="00000000" w:rsidRPr="00E84FE8" w:rsidP="00E84FE8">
            <w:pPr>
              <w:pStyle w:val="ListBullet"/>
            </w:pPr>
            <w:r w:rsidRPr="00E84FE8">
              <w:rPr>
                <w:rStyle w:val="Emphasis"/>
              </w:rPr>
              <w:t>hold an Electrician qualification or the equivalent issued in an Australian state or territory.</w:t>
            </w:r>
          </w:p>
          <w:p w:rsidR="00000000" w:rsidRPr="00E84FE8" w:rsidP="00E84FE8">
            <w:pPr>
              <w:pStyle w:val="BodyText"/>
            </w:pPr>
            <w:r w:rsidRPr="00E84FE8">
              <w:rPr>
                <w:rStyle w:val="Emphasis"/>
              </w:rPr>
              <w:t>This unit can be undertaken in conjunction with the qualification listed above, provided all requirements for completion of the Certificate III qualification are met prior to issuing this unit.</w:t>
            </w:r>
          </w:p>
          <w:p w:rsidR="00000000" w:rsidRPr="00E84FE8" w:rsidP="00E84FE8">
            <w:pPr>
              <w:pStyle w:val="BodyText"/>
            </w:pPr>
            <w:r w:rsidRPr="00E84FE8">
              <w:t xml:space="preserve">The application of the skills and knowledge described in this </w:t>
            </w:r>
            <w:r w:rsidRPr="00E84FE8">
              <w:t>unit may require a licence/registration to practice in the workplace.</w:t>
            </w:r>
          </w:p>
          <w:p w:rsidR="00000000" w:rsidRPr="00E84FE8" w:rsidP="00E84FE8">
            <w:pPr>
              <w:pStyle w:val="BodyText"/>
            </w:pPr>
            <w:r w:rsidRPr="00E84FE8">
              <w:t>Other conditions may also apply under state and territory legislative and regulatory licensing requirements which must be confirmed prior to commencing this unit.</w:t>
            </w:r>
          </w:p>
        </w:tc>
      </w:tr>
    </w:tbl>
    <w:p w:rsidR="00000000" w:rsidRPr="00E84FE8" w:rsidP="00E84FE8">
      <w:pPr>
        <w:pStyle w:val="NoPaddingFontSize1"/>
      </w:pPr>
    </w:p>
    <w:p w:rsidR="00000000" w:rsidRPr="00E84FE8" w:rsidP="00E84FE8">
      <w:pPr>
        <w:pStyle w:val="AllowPageBreak"/>
      </w:pPr>
    </w:p>
    <w:p w:rsidR="00000000" w:rsidRPr="00E84FE8" w:rsidP="00E84FE8">
      <w:pPr>
        <w:pStyle w:val="Heading1"/>
      </w:pPr>
      <w:bookmarkStart w:id="3" w:name="O_1237448"/>
      <w:bookmarkEnd w:id="3"/>
      <w:r w:rsidRPr="00E84FE8">
        <w:t>Pr</w:t>
      </w:r>
      <w:r w:rsidRPr="00E84FE8">
        <w:t>e-requisite Unit</w:t>
      </w:r>
    </w:p>
    <w:tbl>
      <w:tblPr>
        <w:tblW w:w="9497" w:type="dxa"/>
        <w:tblLayout w:type="fixed"/>
        <w:tblCellMar>
          <w:left w:w="62" w:type="dxa"/>
          <w:right w:w="62" w:type="dxa"/>
        </w:tblCellMar>
        <w:tblLook w:val="0000"/>
      </w:tblPr>
      <w:tblGrid>
        <w:gridCol w:w="9497"/>
      </w:tblGrid>
      <w:tr w:rsidTr="00E84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FE8" w:rsidP="00E84FE8">
            <w:pPr>
              <w:pStyle w:val="BodyText"/>
            </w:pPr>
            <w:r w:rsidRPr="00E84FE8">
              <w:t>Refer to Application.</w:t>
            </w:r>
          </w:p>
        </w:tc>
      </w:tr>
    </w:tbl>
    <w:p w:rsidR="00000000" w:rsidRPr="00E84FE8" w:rsidP="00E84FE8">
      <w:pPr>
        <w:pStyle w:val="NoPaddingFontSize1"/>
      </w:pPr>
    </w:p>
    <w:p w:rsidR="00000000" w:rsidRPr="00E84FE8" w:rsidP="00E84FE8">
      <w:pPr>
        <w:pStyle w:val="AllowPageBreak"/>
      </w:pPr>
    </w:p>
    <w:p w:rsidR="00000000" w:rsidRPr="00E84FE8" w:rsidP="00E84FE8">
      <w:pPr>
        <w:pStyle w:val="Heading1"/>
      </w:pPr>
      <w:bookmarkStart w:id="4" w:name="O_1237449"/>
      <w:bookmarkEnd w:id="4"/>
      <w:r w:rsidRPr="00E84FE8">
        <w:t>Competency Field</w:t>
      </w:r>
    </w:p>
    <w:tbl>
      <w:tblPr>
        <w:tblW w:w="9497" w:type="dxa"/>
        <w:tblLayout w:type="fixed"/>
        <w:tblCellMar>
          <w:left w:w="62" w:type="dxa"/>
          <w:right w:w="62" w:type="dxa"/>
        </w:tblCellMar>
        <w:tblLook w:val="0000"/>
      </w:tblPr>
      <w:tblGrid>
        <w:gridCol w:w="9497"/>
      </w:tblGrid>
      <w:tr w:rsidTr="00E84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FE8" w:rsidP="00E84FE8">
            <w:pPr>
              <w:pStyle w:val="BodyText"/>
            </w:pPr>
            <w:r w:rsidRPr="00E84FE8">
              <w:t>Substation</w:t>
            </w:r>
          </w:p>
        </w:tc>
      </w:tr>
    </w:tbl>
    <w:p w:rsidR="00000000" w:rsidRPr="00E84FE8" w:rsidP="00E84FE8">
      <w:pPr>
        <w:pStyle w:val="NoPaddingFontSize1"/>
      </w:pPr>
    </w:p>
    <w:p w:rsidR="00000000" w:rsidRPr="00E84FE8" w:rsidP="00E84FE8">
      <w:pPr>
        <w:pStyle w:val="AllowPageBreak"/>
      </w:pPr>
    </w:p>
    <w:p w:rsidR="00000000" w:rsidRPr="00E84FE8" w:rsidP="00E84FE8">
      <w:pPr>
        <w:pStyle w:val="Heading1"/>
      </w:pPr>
      <w:bookmarkStart w:id="5" w:name="O_1237450"/>
      <w:bookmarkEnd w:id="5"/>
      <w:r w:rsidRPr="00E84FE8">
        <w:t>Unit Sector</w:t>
      </w:r>
    </w:p>
    <w:tbl>
      <w:tblPr>
        <w:tblW w:w="9497" w:type="dxa"/>
        <w:tblLayout w:type="fixed"/>
        <w:tblCellMar>
          <w:left w:w="62" w:type="dxa"/>
          <w:right w:w="62" w:type="dxa"/>
        </w:tblCellMar>
        <w:tblLook w:val="0000"/>
      </w:tblPr>
      <w:tblGrid>
        <w:gridCol w:w="9497"/>
      </w:tblGrid>
      <w:tr w:rsidTr="00E84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FE8" w:rsidP="00E84FE8">
            <w:pPr>
              <w:pStyle w:val="BodyText"/>
            </w:pPr>
            <w:r w:rsidRPr="00E84FE8">
              <w:t>Not applicable.</w:t>
            </w:r>
          </w:p>
        </w:tc>
      </w:tr>
    </w:tbl>
    <w:p w:rsidR="00000000" w:rsidRPr="00E84FE8" w:rsidP="00E84FE8">
      <w:pPr>
        <w:pStyle w:val="NoPaddingFontSize1"/>
      </w:pPr>
    </w:p>
    <w:p w:rsidR="00000000" w:rsidRPr="00E84FE8" w:rsidP="00E84FE8">
      <w:pPr>
        <w:pStyle w:val="AllowPageBreak"/>
      </w:pPr>
    </w:p>
    <w:p w:rsidR="00000000" w:rsidRPr="00E84FE8" w:rsidP="00E84FE8">
      <w:pPr>
        <w:pStyle w:val="Heading1"/>
      </w:pPr>
      <w:bookmarkStart w:id="6" w:name="O_1237451"/>
      <w:bookmarkEnd w:id="6"/>
      <w:r w:rsidRPr="00E84FE8">
        <w:t>Elements and Performance Criteria</w:t>
      </w:r>
    </w:p>
    <w:tbl>
      <w:tblPr>
        <w:tblW w:w="9497" w:type="dxa"/>
        <w:tblLayout w:type="fixed"/>
        <w:tblCellMar>
          <w:left w:w="62" w:type="dxa"/>
          <w:right w:w="62" w:type="dxa"/>
        </w:tblCellMar>
        <w:tblLook w:val="0000"/>
      </w:tblPr>
      <w:tblGrid>
        <w:gridCol w:w="403"/>
        <w:gridCol w:w="2817"/>
        <w:gridCol w:w="816"/>
        <w:gridCol w:w="5461"/>
      </w:tblGrid>
      <w:tr w:rsidTr="00E84FE8">
        <w:tblPrEx>
          <w:tblW w:w="9497" w:type="dxa"/>
          <w:tblLayout w:type="fixed"/>
          <w:tblCellMar>
            <w:left w:w="62" w:type="dxa"/>
            <w:right w:w="62" w:type="dxa"/>
          </w:tblCellMar>
          <w:tblLook w:val="0000"/>
        </w:tblPrEx>
        <w:tc>
          <w:tcPr>
            <w:tcW w:w="3220" w:type="dxa"/>
            <w:gridSpan w:val="2"/>
            <w:tcBorders>
              <w:top w:val="nil"/>
              <w:left w:val="nil"/>
              <w:bottom w:val="nil"/>
              <w:right w:val="nil"/>
            </w:tcBorders>
            <w:tcMar>
              <w:top w:w="0" w:type="dxa"/>
              <w:left w:w="62" w:type="dxa"/>
              <w:bottom w:w="0" w:type="dxa"/>
              <w:right w:w="62" w:type="dxa"/>
            </w:tcMar>
          </w:tcPr>
          <w:p w:rsidR="00000000" w:rsidRPr="00E84FE8" w:rsidP="00E84FE8">
            <w:pPr>
              <w:pStyle w:val="BodyText"/>
            </w:pPr>
            <w:r w:rsidRPr="00E84FE8">
              <w:rPr>
                <w:rStyle w:val="SpecialBold"/>
              </w:rPr>
              <w:t>ELEMENTS</w:t>
            </w:r>
          </w:p>
        </w:tc>
        <w:tc>
          <w:tcPr>
            <w:tcW w:w="6277" w:type="dxa"/>
            <w:gridSpan w:val="2"/>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rPr>
                <w:rStyle w:val="SpecialBold"/>
              </w:rPr>
              <w:t>PERFORMANCE CRITERIA</w:t>
            </w:r>
          </w:p>
        </w:tc>
      </w:tr>
      <w:tr w:rsidTr="00E84FE8">
        <w:tblPrEx>
          <w:tblW w:w="9497" w:type="dxa"/>
          <w:tblLayout w:type="fixed"/>
          <w:tblCellMar>
            <w:left w:w="62" w:type="dxa"/>
            <w:right w:w="62" w:type="dxa"/>
          </w:tblCellMar>
          <w:tblLook w:val="0000"/>
        </w:tblPrEx>
        <w:tc>
          <w:tcPr>
            <w:tcW w:w="3220" w:type="dxa"/>
            <w:gridSpan w:val="2"/>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t>Elements describe the essential outcomes.</w:t>
            </w:r>
          </w:p>
        </w:tc>
        <w:tc>
          <w:tcPr>
            <w:tcW w:w="6277" w:type="dxa"/>
            <w:gridSpan w:val="2"/>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t>Performance criteria describe the performance needed to demonstrate achievement of the element.</w:t>
            </w:r>
          </w:p>
        </w:tc>
      </w:tr>
      <w:tr w:rsidTr="00E84F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84FE8" w:rsidP="00E84FE8">
            <w:pPr>
              <w:pStyle w:val="BodyText"/>
            </w:pPr>
            <w:r w:rsidRPr="00E84FE8">
              <w:rPr>
                <w:rStyle w:val="SpecialBold"/>
              </w:rPr>
              <w:t xml:space="preserve">1 </w:t>
            </w:r>
          </w:p>
        </w:tc>
        <w:tc>
          <w:tcPr>
            <w:tcW w:w="2817" w:type="dxa"/>
            <w:tcBorders>
              <w:top w:val="nil"/>
              <w:left w:val="nil"/>
              <w:bottom w:val="nil"/>
              <w:right w:val="nil"/>
            </w:tcBorders>
            <w:tcMar>
              <w:top w:w="0" w:type="dxa"/>
              <w:left w:w="62" w:type="dxa"/>
              <w:bottom w:w="0" w:type="dxa"/>
              <w:right w:w="62" w:type="dxa"/>
            </w:tcMar>
          </w:tcPr>
          <w:p w:rsidR="00000000" w:rsidRPr="00E84FE8" w:rsidP="00E84FE8">
            <w:pPr>
              <w:pStyle w:val="BodyText"/>
            </w:pPr>
            <w:r w:rsidRPr="00E84FE8">
              <w:rPr>
                <w:rStyle w:val="SpecialBold"/>
              </w:rPr>
              <w:t>Prepare to maintain synchronous condensers</w:t>
            </w:r>
          </w:p>
        </w:tc>
        <w:tc>
          <w:tcPr>
            <w:tcW w:w="816" w:type="dxa"/>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rPr>
                <w:rStyle w:val="SpecialBold"/>
              </w:rPr>
              <w:t>1.1</w:t>
            </w:r>
          </w:p>
        </w:tc>
        <w:tc>
          <w:tcPr>
            <w:tcW w:w="5461" w:type="dxa"/>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t>Legislation, regulations, standards, codes of practice and organi</w:t>
            </w:r>
            <w:r w:rsidRPr="00E84FE8">
              <w:t>sational workplace requirements for the work to be performed are reviewed and determined</w:t>
            </w:r>
          </w:p>
        </w:tc>
      </w:tr>
      <w:tr w:rsidTr="00E84F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7" w:type="dxa"/>
            <w:tcBorders>
              <w:top w:val="nil"/>
              <w:left w:val="nil"/>
              <w:bottom w:val="nil"/>
              <w:right w:val="nil"/>
            </w:tcBorders>
            <w:tcMar>
              <w:top w:w="0" w:type="dxa"/>
              <w:left w:w="62" w:type="dxa"/>
              <w:bottom w:w="0" w:type="dxa"/>
              <w:right w:w="62" w:type="dxa"/>
            </w:tcMar>
          </w:tcPr>
          <w:p w:rsidR="00000000" w:rsidRPr="00E84FE8">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rPr>
                <w:rStyle w:val="SpecialBold"/>
              </w:rPr>
              <w:t>1.2</w:t>
            </w:r>
          </w:p>
        </w:tc>
        <w:tc>
          <w:tcPr>
            <w:tcW w:w="5461" w:type="dxa"/>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t>Work plan is obtained, confirmed and communicated with relevant personnel in accordance with workplace requirements</w:t>
            </w:r>
          </w:p>
        </w:tc>
      </w:tr>
      <w:tr w:rsidTr="00E84F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7" w:type="dxa"/>
            <w:tcBorders>
              <w:top w:val="nil"/>
              <w:left w:val="nil"/>
              <w:bottom w:val="nil"/>
              <w:right w:val="nil"/>
            </w:tcBorders>
            <w:tcMar>
              <w:top w:w="0" w:type="dxa"/>
              <w:left w:w="62" w:type="dxa"/>
              <w:bottom w:w="0" w:type="dxa"/>
              <w:right w:w="62" w:type="dxa"/>
            </w:tcMar>
          </w:tcPr>
          <w:p w:rsidR="00000000" w:rsidRPr="00E84FE8">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rPr>
                <w:rStyle w:val="SpecialBold"/>
              </w:rPr>
              <w:t>1.3</w:t>
            </w:r>
          </w:p>
        </w:tc>
        <w:tc>
          <w:tcPr>
            <w:tcW w:w="5461" w:type="dxa"/>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t>Hazards are identified, risks assessed, and control measures identified and applied</w:t>
            </w:r>
          </w:p>
        </w:tc>
      </w:tr>
      <w:tr w:rsidTr="00E84F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7" w:type="dxa"/>
            <w:tcBorders>
              <w:top w:val="nil"/>
              <w:left w:val="nil"/>
              <w:bottom w:val="nil"/>
              <w:right w:val="nil"/>
            </w:tcBorders>
            <w:tcMar>
              <w:top w:w="0" w:type="dxa"/>
              <w:left w:w="62" w:type="dxa"/>
              <w:bottom w:w="0" w:type="dxa"/>
              <w:right w:w="62" w:type="dxa"/>
            </w:tcMar>
          </w:tcPr>
          <w:p w:rsidR="00000000" w:rsidRPr="00E84FE8">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rPr>
                <w:rStyle w:val="SpecialBold"/>
              </w:rPr>
              <w:t>1.4</w:t>
            </w:r>
          </w:p>
        </w:tc>
        <w:tc>
          <w:tcPr>
            <w:tcW w:w="5461" w:type="dxa"/>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t>Work is prioritised and sequenced for completion in accordance with work plan and workplace requirements</w:t>
            </w:r>
          </w:p>
        </w:tc>
      </w:tr>
      <w:tr w:rsidTr="00E84F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7" w:type="dxa"/>
            <w:tcBorders>
              <w:top w:val="nil"/>
              <w:left w:val="nil"/>
              <w:bottom w:val="nil"/>
              <w:right w:val="nil"/>
            </w:tcBorders>
            <w:tcMar>
              <w:top w:w="0" w:type="dxa"/>
              <w:left w:w="62" w:type="dxa"/>
              <w:bottom w:w="0" w:type="dxa"/>
              <w:right w:w="62" w:type="dxa"/>
            </w:tcMar>
          </w:tcPr>
          <w:p w:rsidR="00000000" w:rsidRPr="00E84FE8">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rPr>
                <w:rStyle w:val="SpecialBold"/>
              </w:rPr>
              <w:t>1.5</w:t>
            </w:r>
          </w:p>
        </w:tc>
        <w:tc>
          <w:tcPr>
            <w:tcW w:w="5461" w:type="dxa"/>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t>Plant, tools, equipment and personal protective equipment (PPE) required for work are determined, obtained and confirmed in working order</w:t>
            </w:r>
          </w:p>
        </w:tc>
      </w:tr>
      <w:tr w:rsidTr="00E84F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7" w:type="dxa"/>
            <w:tcBorders>
              <w:top w:val="nil"/>
              <w:left w:val="nil"/>
              <w:bottom w:val="nil"/>
              <w:right w:val="nil"/>
            </w:tcBorders>
            <w:tcMar>
              <w:top w:w="0" w:type="dxa"/>
              <w:left w:w="62" w:type="dxa"/>
              <w:bottom w:w="0" w:type="dxa"/>
              <w:right w:w="62" w:type="dxa"/>
            </w:tcMar>
          </w:tcPr>
          <w:p w:rsidR="00000000" w:rsidRPr="00E84FE8">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rPr>
                <w:rStyle w:val="SpecialBold"/>
              </w:rPr>
              <w:t>1.6</w:t>
            </w:r>
          </w:p>
        </w:tc>
        <w:tc>
          <w:tcPr>
            <w:tcW w:w="5461" w:type="dxa"/>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t xml:space="preserve">Liaison and communication issues with authorised personnel, authorities and clients are resolved to facilitate </w:t>
            </w:r>
            <w:r w:rsidRPr="00E84FE8">
              <w:t>work, as required</w:t>
            </w:r>
          </w:p>
        </w:tc>
      </w:tr>
      <w:tr w:rsidTr="00E84F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7" w:type="dxa"/>
            <w:tcBorders>
              <w:top w:val="nil"/>
              <w:left w:val="nil"/>
              <w:bottom w:val="nil"/>
              <w:right w:val="nil"/>
            </w:tcBorders>
            <w:tcMar>
              <w:top w:w="0" w:type="dxa"/>
              <w:left w:w="62" w:type="dxa"/>
              <w:bottom w:w="0" w:type="dxa"/>
              <w:right w:w="62" w:type="dxa"/>
            </w:tcMar>
          </w:tcPr>
          <w:p w:rsidR="00000000" w:rsidRPr="00E84FE8">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rPr>
                <w:rStyle w:val="SpecialBold"/>
              </w:rPr>
              <w:t>1.7</w:t>
            </w:r>
          </w:p>
        </w:tc>
        <w:tc>
          <w:tcPr>
            <w:tcW w:w="5461" w:type="dxa"/>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t>Worksite is prepared in accordance with the work plan and workplace requirements</w:t>
            </w:r>
          </w:p>
        </w:tc>
      </w:tr>
      <w:tr w:rsidTr="00E84F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84FE8" w:rsidP="00E84FE8">
            <w:pPr>
              <w:pStyle w:val="BodyText"/>
            </w:pPr>
            <w:r w:rsidRPr="00E84FE8">
              <w:rPr>
                <w:rStyle w:val="SpecialBold"/>
              </w:rPr>
              <w:t>2</w:t>
            </w:r>
          </w:p>
        </w:tc>
        <w:tc>
          <w:tcPr>
            <w:tcW w:w="2817" w:type="dxa"/>
            <w:tcBorders>
              <w:top w:val="nil"/>
              <w:left w:val="nil"/>
              <w:bottom w:val="nil"/>
              <w:right w:val="nil"/>
            </w:tcBorders>
            <w:tcMar>
              <w:top w:w="0" w:type="dxa"/>
              <w:left w:w="62" w:type="dxa"/>
              <w:bottom w:w="0" w:type="dxa"/>
              <w:right w:w="62" w:type="dxa"/>
            </w:tcMar>
          </w:tcPr>
          <w:p w:rsidR="00000000" w:rsidRPr="00E84FE8" w:rsidP="00E84FE8">
            <w:pPr>
              <w:pStyle w:val="BodyText"/>
            </w:pPr>
            <w:r w:rsidRPr="00E84FE8">
              <w:rPr>
                <w:rStyle w:val="SpecialBold"/>
              </w:rPr>
              <w:t>Maintain synchronous condensers</w:t>
            </w:r>
          </w:p>
        </w:tc>
        <w:tc>
          <w:tcPr>
            <w:tcW w:w="816" w:type="dxa"/>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rPr>
                <w:rStyle w:val="SpecialBold"/>
              </w:rPr>
              <w:t>2.1</w:t>
            </w:r>
          </w:p>
        </w:tc>
        <w:tc>
          <w:tcPr>
            <w:tcW w:w="5461" w:type="dxa"/>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t>Legislation, regulations, standards, codes of practice and</w:t>
            </w:r>
            <w:r w:rsidRPr="00E84FE8">
              <w:t xml:space="preserve"> organisational workplace requirements for the work to be performed are applied and monitored</w:t>
            </w:r>
          </w:p>
        </w:tc>
      </w:tr>
      <w:tr w:rsidTr="00E84F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7" w:type="dxa"/>
            <w:tcBorders>
              <w:top w:val="nil"/>
              <w:left w:val="nil"/>
              <w:bottom w:val="nil"/>
              <w:right w:val="nil"/>
            </w:tcBorders>
            <w:tcMar>
              <w:top w:w="0" w:type="dxa"/>
              <w:left w:w="62" w:type="dxa"/>
              <w:bottom w:w="0" w:type="dxa"/>
              <w:right w:w="62" w:type="dxa"/>
            </w:tcMar>
          </w:tcPr>
          <w:p w:rsidR="00000000" w:rsidRPr="00E84FE8">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rPr>
                <w:rStyle w:val="SpecialBold"/>
              </w:rPr>
              <w:t>2.2</w:t>
            </w:r>
          </w:p>
        </w:tc>
        <w:tc>
          <w:tcPr>
            <w:tcW w:w="5461" w:type="dxa"/>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t>Work permits are received and signed in accordance with workplace requirements</w:t>
            </w:r>
          </w:p>
        </w:tc>
      </w:tr>
      <w:tr w:rsidTr="00E84F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7" w:type="dxa"/>
            <w:tcBorders>
              <w:top w:val="nil"/>
              <w:left w:val="nil"/>
              <w:bottom w:val="nil"/>
              <w:right w:val="nil"/>
            </w:tcBorders>
            <w:tcMar>
              <w:top w:w="0" w:type="dxa"/>
              <w:left w:w="62" w:type="dxa"/>
              <w:bottom w:w="0" w:type="dxa"/>
              <w:right w:w="62" w:type="dxa"/>
            </w:tcMar>
          </w:tcPr>
          <w:p w:rsidR="00000000" w:rsidRPr="00E84FE8">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rPr>
                <w:rStyle w:val="SpecialBold"/>
              </w:rPr>
              <w:t>2.3</w:t>
            </w:r>
          </w:p>
        </w:tc>
        <w:tc>
          <w:tcPr>
            <w:tcW w:w="5461" w:type="dxa"/>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t>Lifting, working at heights, working in confined spaces and the use o</w:t>
            </w:r>
            <w:r w:rsidRPr="00E84FE8">
              <w:t>f plant, tools, equipment and PPE are carried out in accordance with workplace requirements</w:t>
            </w:r>
          </w:p>
        </w:tc>
      </w:tr>
      <w:tr w:rsidTr="00E84F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7" w:type="dxa"/>
            <w:tcBorders>
              <w:top w:val="nil"/>
              <w:left w:val="nil"/>
              <w:bottom w:val="nil"/>
              <w:right w:val="nil"/>
            </w:tcBorders>
            <w:tcMar>
              <w:top w:w="0" w:type="dxa"/>
              <w:left w:w="62" w:type="dxa"/>
              <w:bottom w:w="0" w:type="dxa"/>
              <w:right w:w="62" w:type="dxa"/>
            </w:tcMar>
          </w:tcPr>
          <w:p w:rsidR="00000000" w:rsidRPr="00E84FE8">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rPr>
                <w:rStyle w:val="SpecialBold"/>
              </w:rPr>
              <w:t>2.4</w:t>
            </w:r>
          </w:p>
        </w:tc>
        <w:tc>
          <w:tcPr>
            <w:tcW w:w="5461" w:type="dxa"/>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t>Synchronous condensers are maintained in accordance with workplace requirements</w:t>
            </w:r>
          </w:p>
        </w:tc>
      </w:tr>
      <w:tr w:rsidTr="00E84F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7" w:type="dxa"/>
            <w:tcBorders>
              <w:top w:val="nil"/>
              <w:left w:val="nil"/>
              <w:bottom w:val="nil"/>
              <w:right w:val="nil"/>
            </w:tcBorders>
            <w:tcMar>
              <w:top w:w="0" w:type="dxa"/>
              <w:left w:w="62" w:type="dxa"/>
              <w:bottom w:w="0" w:type="dxa"/>
              <w:right w:w="62" w:type="dxa"/>
            </w:tcMar>
          </w:tcPr>
          <w:p w:rsidR="00000000" w:rsidRPr="00E84FE8">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rPr>
                <w:rStyle w:val="SpecialBold"/>
              </w:rPr>
              <w:t>2.5</w:t>
            </w:r>
          </w:p>
        </w:tc>
        <w:tc>
          <w:tcPr>
            <w:tcW w:w="5461" w:type="dxa"/>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t>Incidents or unplanned events are responded to in accordance with workplace requirements</w:t>
            </w:r>
          </w:p>
        </w:tc>
      </w:tr>
      <w:tr w:rsidTr="00E84F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84FE8" w:rsidP="00E84FE8">
            <w:pPr>
              <w:pStyle w:val="BodyText"/>
            </w:pPr>
            <w:r w:rsidRPr="00E84FE8">
              <w:rPr>
                <w:rStyle w:val="SpecialBold"/>
              </w:rPr>
              <w:t>3</w:t>
            </w:r>
          </w:p>
        </w:tc>
        <w:tc>
          <w:tcPr>
            <w:tcW w:w="2817" w:type="dxa"/>
            <w:tcBorders>
              <w:top w:val="nil"/>
              <w:left w:val="nil"/>
              <w:bottom w:val="nil"/>
              <w:right w:val="nil"/>
            </w:tcBorders>
            <w:tcMar>
              <w:top w:w="0" w:type="dxa"/>
              <w:left w:w="62" w:type="dxa"/>
              <w:bottom w:w="0" w:type="dxa"/>
              <w:right w:w="62" w:type="dxa"/>
            </w:tcMar>
          </w:tcPr>
          <w:p w:rsidR="00000000" w:rsidRPr="00E84FE8" w:rsidP="00E84FE8">
            <w:pPr>
              <w:pStyle w:val="BodyText"/>
            </w:pPr>
            <w:r w:rsidRPr="00E84FE8">
              <w:rPr>
                <w:rStyle w:val="SpecialBold"/>
              </w:rPr>
              <w:t>Complete work and documentation</w:t>
            </w:r>
          </w:p>
        </w:tc>
        <w:tc>
          <w:tcPr>
            <w:tcW w:w="816" w:type="dxa"/>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rPr>
                <w:rStyle w:val="SpecialBold"/>
              </w:rPr>
              <w:t>3.1</w:t>
            </w:r>
          </w:p>
        </w:tc>
        <w:tc>
          <w:tcPr>
            <w:tcW w:w="5461" w:type="dxa"/>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t>Completed work is checked for compliance against the work plan and workplace requirements</w:t>
            </w:r>
          </w:p>
        </w:tc>
      </w:tr>
      <w:tr w:rsidTr="00E84F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7" w:type="dxa"/>
            <w:tcBorders>
              <w:top w:val="nil"/>
              <w:left w:val="nil"/>
              <w:bottom w:val="nil"/>
              <w:right w:val="nil"/>
            </w:tcBorders>
            <w:tcMar>
              <w:top w:w="0" w:type="dxa"/>
              <w:left w:w="62" w:type="dxa"/>
              <w:bottom w:w="0" w:type="dxa"/>
              <w:right w:w="62" w:type="dxa"/>
            </w:tcMar>
          </w:tcPr>
          <w:p w:rsidR="00000000" w:rsidRPr="00E84FE8">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rPr>
                <w:rStyle w:val="SpecialBold"/>
              </w:rPr>
              <w:t>3.2</w:t>
            </w:r>
          </w:p>
        </w:tc>
        <w:tc>
          <w:tcPr>
            <w:tcW w:w="5461" w:type="dxa"/>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t xml:space="preserve">Work permits are signed off in </w:t>
            </w:r>
            <w:r w:rsidRPr="00E84FE8">
              <w:t>accordance with workplace requirements</w:t>
            </w:r>
          </w:p>
        </w:tc>
      </w:tr>
      <w:tr w:rsidTr="00E84F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7" w:type="dxa"/>
            <w:tcBorders>
              <w:top w:val="nil"/>
              <w:left w:val="nil"/>
              <w:bottom w:val="nil"/>
              <w:right w:val="nil"/>
            </w:tcBorders>
            <w:tcMar>
              <w:top w:w="0" w:type="dxa"/>
              <w:left w:w="62" w:type="dxa"/>
              <w:bottom w:w="0" w:type="dxa"/>
              <w:right w:w="62" w:type="dxa"/>
            </w:tcMar>
          </w:tcPr>
          <w:p w:rsidR="00000000" w:rsidRPr="00E84FE8">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rPr>
                <w:rStyle w:val="SpecialBold"/>
              </w:rPr>
              <w:t>3.3</w:t>
            </w:r>
          </w:p>
        </w:tc>
        <w:tc>
          <w:tcPr>
            <w:tcW w:w="5461" w:type="dxa"/>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t>Worksite is rehabilitated, cleaned and made safe in accordance with workplace requirements</w:t>
            </w:r>
          </w:p>
        </w:tc>
      </w:tr>
      <w:tr w:rsidTr="00E84F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7" w:type="dxa"/>
            <w:tcBorders>
              <w:top w:val="nil"/>
              <w:left w:val="nil"/>
              <w:bottom w:val="nil"/>
              <w:right w:val="nil"/>
            </w:tcBorders>
            <w:tcMar>
              <w:top w:w="0" w:type="dxa"/>
              <w:left w:w="62" w:type="dxa"/>
              <w:bottom w:w="0" w:type="dxa"/>
              <w:right w:w="62" w:type="dxa"/>
            </w:tcMar>
          </w:tcPr>
          <w:p w:rsidR="00000000" w:rsidRPr="00E84FE8">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rPr>
                <w:rStyle w:val="SpecialBold"/>
              </w:rPr>
              <w:t>3.4</w:t>
            </w:r>
          </w:p>
        </w:tc>
        <w:tc>
          <w:tcPr>
            <w:tcW w:w="5461" w:type="dxa"/>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t>Plant, tools and equipment are cleaned, checked and returned to storage, and surplus resources and materials are managed in accordance with workplace requirements</w:t>
            </w:r>
          </w:p>
        </w:tc>
      </w:tr>
      <w:tr w:rsidTr="00E84F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7" w:type="dxa"/>
            <w:tcBorders>
              <w:top w:val="nil"/>
              <w:left w:val="nil"/>
              <w:bottom w:val="nil"/>
              <w:right w:val="nil"/>
            </w:tcBorders>
            <w:tcMar>
              <w:top w:w="0" w:type="dxa"/>
              <w:left w:w="62" w:type="dxa"/>
              <w:bottom w:w="0" w:type="dxa"/>
              <w:right w:w="62" w:type="dxa"/>
            </w:tcMar>
          </w:tcPr>
          <w:p w:rsidR="00000000" w:rsidRPr="00E84FE8">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rPr>
                <w:rStyle w:val="SpecialBold"/>
              </w:rPr>
              <w:t>3.5</w:t>
            </w:r>
          </w:p>
        </w:tc>
        <w:tc>
          <w:tcPr>
            <w:tcW w:w="5461" w:type="dxa"/>
            <w:tcBorders>
              <w:top w:val="nil"/>
              <w:left w:val="nil"/>
              <w:bottom w:val="nil"/>
              <w:right w:val="nil"/>
            </w:tcBorders>
            <w:tcMar>
              <w:top w:w="0" w:type="dxa"/>
              <w:left w:w="62" w:type="dxa"/>
              <w:bottom w:w="0" w:type="dxa"/>
              <w:right w:w="62" w:type="dxa"/>
            </w:tcMar>
          </w:tcPr>
          <w:p w:rsidR="00000000" w:rsidRPr="00E84FE8" w:rsidP="00E84FE8">
            <w:pPr>
              <w:pStyle w:val="BodyText"/>
            </w:pPr>
            <w:r w:rsidRPr="00E84FE8">
              <w:t>Work records, reports and documentation are completed, and where relevant, appropriate</w:t>
            </w:r>
            <w:r w:rsidRPr="00E84FE8">
              <w:t xml:space="preserve"> personnel notified in accordance with workplace requirements</w:t>
            </w:r>
          </w:p>
        </w:tc>
      </w:tr>
    </w:tbl>
    <w:p w:rsidR="00000000" w:rsidRPr="00E84FE8" w:rsidP="00E84FE8">
      <w:pPr>
        <w:pStyle w:val="NoPaddingFontSize1"/>
      </w:pPr>
    </w:p>
    <w:p w:rsidR="00000000" w:rsidRPr="00E84FE8" w:rsidP="00E84FE8">
      <w:pPr>
        <w:pStyle w:val="AllowPageBreak"/>
      </w:pPr>
    </w:p>
    <w:p w:rsidR="00000000" w:rsidRPr="00E84FE8" w:rsidP="00E84FE8">
      <w:pPr>
        <w:pStyle w:val="Heading1"/>
      </w:pPr>
      <w:bookmarkStart w:id="7" w:name="O_1237452"/>
      <w:bookmarkEnd w:id="7"/>
      <w:r w:rsidRPr="00E84FE8">
        <w:t>Foundation Skills</w:t>
      </w:r>
    </w:p>
    <w:tbl>
      <w:tblPr>
        <w:tblW w:w="9497" w:type="dxa"/>
        <w:tblLayout w:type="fixed"/>
        <w:tblCellMar>
          <w:left w:w="62" w:type="dxa"/>
          <w:right w:w="62" w:type="dxa"/>
        </w:tblCellMar>
        <w:tblLook w:val="0000"/>
      </w:tblPr>
      <w:tblGrid>
        <w:gridCol w:w="9497"/>
      </w:tblGrid>
      <w:tr w:rsidTr="00E84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FE8" w:rsidP="00E84FE8">
            <w:pPr>
              <w:pStyle w:val="BodyText"/>
            </w:pPr>
            <w:r w:rsidRPr="00E84FE8">
              <w:t>Foundation skills essential to performance are explicit in the performance criteria of this unit of competency.</w:t>
            </w:r>
          </w:p>
        </w:tc>
      </w:tr>
    </w:tbl>
    <w:p w:rsidR="00000000" w:rsidRPr="00E84FE8" w:rsidP="00E84FE8">
      <w:pPr>
        <w:pStyle w:val="NoPaddingFontSize1"/>
      </w:pPr>
    </w:p>
    <w:p w:rsidR="00000000" w:rsidRPr="00E84FE8" w:rsidP="00E84FE8">
      <w:pPr>
        <w:pStyle w:val="AllowPageBreak"/>
      </w:pPr>
    </w:p>
    <w:p w:rsidR="00000000" w:rsidRPr="00E84FE8" w:rsidP="00E84FE8">
      <w:pPr>
        <w:pStyle w:val="Heading1"/>
      </w:pPr>
      <w:bookmarkStart w:id="8" w:name="O_1237453"/>
      <w:bookmarkEnd w:id="8"/>
      <w:r w:rsidRPr="00E84FE8">
        <w:t>Range of Conditions</w:t>
      </w:r>
    </w:p>
    <w:tbl>
      <w:tblPr>
        <w:tblW w:w="9497" w:type="dxa"/>
        <w:tblLayout w:type="fixed"/>
        <w:tblCellMar>
          <w:left w:w="62" w:type="dxa"/>
          <w:right w:w="62" w:type="dxa"/>
        </w:tblCellMar>
        <w:tblLook w:val="0000"/>
      </w:tblPr>
      <w:tblGrid>
        <w:gridCol w:w="9497"/>
      </w:tblGrid>
      <w:tr w:rsidTr="00E84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FE8" w:rsidP="00E84FE8">
            <w:pPr>
              <w:pStyle w:val="BodyText"/>
            </w:pPr>
            <w:r w:rsidRPr="00E84FE8">
              <w:t>R</w:t>
            </w:r>
            <w:r w:rsidRPr="00E84FE8">
              <w:t>ange is restricted to essential operating conditions and any other variables essential to the work environment.</w:t>
            </w:r>
          </w:p>
          <w:p w:rsidR="00000000" w:rsidRPr="00E84FE8" w:rsidP="00E84FE8">
            <w:pPr>
              <w:pStyle w:val="BodyText"/>
            </w:pPr>
            <w:r w:rsidRPr="00E84FE8">
              <w:t>Non-essential conditions may be found in the UET Transmission, Distribution and Rail Sector Training Package Companion Volume Implementation Gui</w:t>
            </w:r>
            <w:r w:rsidRPr="00E84FE8">
              <w:t>de.</w:t>
            </w:r>
          </w:p>
        </w:tc>
      </w:tr>
    </w:tbl>
    <w:p w:rsidR="00000000" w:rsidRPr="00E84FE8" w:rsidP="00E84FE8">
      <w:pPr>
        <w:pStyle w:val="NoPaddingFontSize1"/>
      </w:pPr>
    </w:p>
    <w:p w:rsidR="00000000" w:rsidRPr="00E84FE8" w:rsidP="00E84FE8">
      <w:pPr>
        <w:pStyle w:val="AllowPageBreak"/>
      </w:pPr>
    </w:p>
    <w:p w:rsidR="00000000" w:rsidRPr="00E84FE8" w:rsidP="00E84FE8">
      <w:pPr>
        <w:pStyle w:val="Heading1"/>
      </w:pPr>
      <w:bookmarkStart w:id="9" w:name="O_1237454"/>
      <w:bookmarkEnd w:id="9"/>
      <w:r w:rsidRPr="00E84FE8">
        <w:t>Unit Mapping Information</w:t>
      </w:r>
    </w:p>
    <w:tbl>
      <w:tblPr>
        <w:tblW w:w="9497" w:type="dxa"/>
        <w:tblLayout w:type="fixed"/>
        <w:tblCellMar>
          <w:left w:w="62" w:type="dxa"/>
          <w:right w:w="62" w:type="dxa"/>
        </w:tblCellMar>
        <w:tblLook w:val="0000"/>
      </w:tblPr>
      <w:tblGrid>
        <w:gridCol w:w="9497"/>
      </w:tblGrid>
      <w:tr w:rsidTr="00E84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FE8" w:rsidP="00E84FE8">
            <w:pPr>
              <w:pStyle w:val="BodyText"/>
            </w:pPr>
            <w:r w:rsidRPr="00E84FE8">
              <w:t>This unit replaces and is not equivalent to UETTDRSB31 Maintain high voltage power system synchronous condensers.</w:t>
            </w:r>
          </w:p>
        </w:tc>
      </w:tr>
    </w:tbl>
    <w:p w:rsidR="00000000" w:rsidRPr="00E84FE8" w:rsidP="00E84FE8">
      <w:pPr>
        <w:pStyle w:val="NoPaddingFontSize1"/>
      </w:pPr>
    </w:p>
    <w:p w:rsidR="00000000" w:rsidRPr="00E84FE8" w:rsidP="00E84FE8">
      <w:pPr>
        <w:pStyle w:val="AllowPageBreak"/>
      </w:pPr>
    </w:p>
    <w:p w:rsidR="00000000" w:rsidRPr="00E84FE8" w:rsidP="00E84FE8">
      <w:pPr>
        <w:pStyle w:val="Heading1"/>
      </w:pPr>
      <w:bookmarkStart w:id="10" w:name="O_1237461"/>
      <w:bookmarkEnd w:id="10"/>
      <w:r w:rsidRPr="00E84FE8">
        <w:t>Links</w:t>
      </w:r>
    </w:p>
    <w:p w:rsidR="00000000" w:rsidRPr="00E84FE8" w:rsidP="00F24948">
      <w:pPr>
        <w:pStyle w:val="BodyText"/>
      </w:pPr>
      <w:r w:rsidRPr="00E84FE8">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3074DC">
        <w:rPr>
          <w:rStyle w:val="Hyperlink"/>
        </w:rPr>
        <w:t>https://vetnet.gov.au/Pages/TrainingDocs.aspx?q=229bace1-b7bc-4653-9300-dffb13ecfad7</w:t>
      </w:r>
      <w:r>
        <w:fldChar w:fldCharType="end"/>
      </w:r>
    </w:p>
    <w:p w:rsidR="00000000" w:rsidRPr="00E84FE8" w:rsidP="00F24948">
      <w:pPr>
        <w:pStyle w:val="BodyText"/>
        <w:sectPr w:rsidSect="00E84FE8">
          <w:headerReference w:type="default" r:id="rId10"/>
          <w:footerReference w:type="default" r:id="rId11"/>
          <w:pgSz w:w="11908" w:h="16833"/>
          <w:pgMar w:top="1702" w:right="1418" w:bottom="1702" w:left="1418" w:header="992" w:footer="992" w:gutter="0"/>
          <w:cols w:space="720"/>
          <w:noEndnote/>
          <w:docGrid w:linePitch="299"/>
        </w:sectPr>
      </w:pPr>
    </w:p>
    <w:p w:rsidR="00000000" w:rsidRPr="00E84FE8" w:rsidP="00E84FE8">
      <w:pPr>
        <w:pStyle w:val="SuperHeading"/>
      </w:pPr>
      <w:r w:rsidRPr="00E84FE8">
        <w:t>Assessment Requirements for UETDRSB016 Maintain synchronous condensers</w:t>
      </w:r>
    </w:p>
    <w:p w:rsidR="00000000" w:rsidRPr="00E84FE8" w:rsidP="00E84FE8">
      <w:pPr>
        <w:pStyle w:val="Heading1"/>
      </w:pPr>
      <w:bookmarkStart w:id="11" w:name="O_1237456"/>
      <w:bookmarkEnd w:id="11"/>
      <w:r w:rsidRPr="00E84FE8">
        <w:t>Modification History</w:t>
      </w:r>
    </w:p>
    <w:tbl>
      <w:tblPr>
        <w:tblW w:w="9497" w:type="dxa"/>
        <w:tblLayout w:type="fixed"/>
        <w:tblCellMar>
          <w:left w:w="62" w:type="dxa"/>
          <w:right w:w="62" w:type="dxa"/>
        </w:tblCellMar>
        <w:tblLook w:val="0000"/>
      </w:tblPr>
      <w:tblGrid>
        <w:gridCol w:w="9497"/>
      </w:tblGrid>
      <w:tr w:rsidTr="00E84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FE8" w:rsidP="00E84FE8">
            <w:pPr>
              <w:pStyle w:val="BodyText"/>
            </w:pPr>
            <w:r w:rsidRPr="00E84FE8">
              <w:t>Release 1. This is the first release of this unit of competency in the UET Transmission, Distribution and Rail Sector Training Package Release 4.0.</w:t>
            </w:r>
          </w:p>
        </w:tc>
      </w:tr>
    </w:tbl>
    <w:p w:rsidR="00000000" w:rsidRPr="00E84FE8" w:rsidP="00E84FE8">
      <w:pPr>
        <w:pStyle w:val="NoPaddingFontSize1"/>
      </w:pPr>
    </w:p>
    <w:p w:rsidR="00000000" w:rsidRPr="00E84FE8" w:rsidP="00E84FE8">
      <w:pPr>
        <w:pStyle w:val="AllowPageBreak"/>
      </w:pPr>
    </w:p>
    <w:p w:rsidR="00000000" w:rsidRPr="00E84FE8" w:rsidP="00E84FE8">
      <w:pPr>
        <w:pStyle w:val="Heading1"/>
      </w:pPr>
      <w:bookmarkStart w:id="12" w:name="O_1237457"/>
      <w:bookmarkEnd w:id="12"/>
      <w:r w:rsidRPr="00E84FE8">
        <w:t>Performance Evidence</w:t>
      </w:r>
    </w:p>
    <w:tbl>
      <w:tblPr>
        <w:tblW w:w="9497" w:type="dxa"/>
        <w:tblLayout w:type="fixed"/>
        <w:tblCellMar>
          <w:left w:w="62" w:type="dxa"/>
          <w:right w:w="62" w:type="dxa"/>
        </w:tblCellMar>
        <w:tblLook w:val="0000"/>
      </w:tblPr>
      <w:tblGrid>
        <w:gridCol w:w="9497"/>
      </w:tblGrid>
      <w:tr w:rsidTr="00E84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t xml:space="preserve">Evidence required to demonstrate competence in this unit must be relevant to and satisfy all of the requirements of the elements and performance criteria on at least two (2) separate occasions and include:  </w:t>
            </w:r>
          </w:p>
        </w:tc>
      </w:tr>
      <w:tr w:rsidTr="00E84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FE8" w:rsidP="00E84FE8">
            <w:pPr>
              <w:pStyle w:val="ListBullet"/>
            </w:pPr>
            <w:r w:rsidRPr="00E84FE8">
              <w:t>applying relevant legislation, regulations, st</w:t>
            </w:r>
            <w:r w:rsidRPr="00E84FE8">
              <w:t>andards, codes of practice and organisational workplace requirements including:</w:t>
            </w:r>
          </w:p>
          <w:p w:rsidR="00000000" w:rsidRPr="00E84FE8" w:rsidP="00E84FE8">
            <w:pPr>
              <w:pStyle w:val="ListBullet2"/>
            </w:pPr>
            <w:r w:rsidRPr="00E84FE8">
              <w:t>work health and safety (WHS)/occupational health and safety (OHS) requirements</w:t>
            </w:r>
          </w:p>
          <w:p w:rsidR="00000000" w:rsidRPr="00E84FE8" w:rsidP="00E84FE8">
            <w:pPr>
              <w:pStyle w:val="ListBullet"/>
            </w:pPr>
            <w:r w:rsidRPr="00E84FE8">
              <w:t>identifying hazards, assessing risks, and identifying, applying and monitoring control measures</w:t>
            </w:r>
          </w:p>
          <w:p w:rsidR="00000000" w:rsidRPr="00E84FE8" w:rsidP="00E84FE8">
            <w:pPr>
              <w:pStyle w:val="ListBullet"/>
            </w:pPr>
            <w:r w:rsidRPr="00E84FE8">
              <w:t>obtaining, inspecting and using relevant personal protective equipment (PPE)</w:t>
            </w:r>
          </w:p>
          <w:p w:rsidR="00000000" w:rsidRPr="00E84FE8" w:rsidP="00E84FE8">
            <w:pPr>
              <w:pStyle w:val="ListBullet"/>
            </w:pPr>
            <w:r w:rsidRPr="00E84FE8">
              <w:t>dealing with an unplanned event on at least one (1) occasion</w:t>
            </w:r>
          </w:p>
          <w:p w:rsidR="00000000" w:rsidRPr="00E84FE8" w:rsidP="00E84FE8">
            <w:pPr>
              <w:pStyle w:val="ListBullet"/>
            </w:pPr>
            <w:r w:rsidRPr="00E84FE8">
              <w:t>obtaining and signing relevant work permits in accordance with workplace requirements</w:t>
            </w:r>
          </w:p>
          <w:p w:rsidR="00000000" w:rsidRPr="00E84FE8" w:rsidP="00E84FE8">
            <w:pPr>
              <w:pStyle w:val="ListBullet"/>
            </w:pPr>
            <w:r w:rsidRPr="00E84FE8">
              <w:t>completing relevant work record</w:t>
            </w:r>
            <w:r w:rsidRPr="00E84FE8">
              <w:t>s, reports and documentation</w:t>
            </w:r>
          </w:p>
          <w:p w:rsidR="00000000" w:rsidRPr="00E84FE8" w:rsidP="00E84FE8">
            <w:pPr>
              <w:pStyle w:val="ListBullet"/>
            </w:pPr>
            <w:r w:rsidRPr="00E84FE8">
              <w:t>maintaining at least one (1) of the following windings:</w:t>
            </w:r>
          </w:p>
          <w:p w:rsidR="00000000" w:rsidRPr="00E84FE8" w:rsidP="00E84FE8">
            <w:pPr>
              <w:pStyle w:val="ListBullet2"/>
            </w:pPr>
            <w:r w:rsidRPr="00E84FE8">
              <w:t xml:space="preserve">stator </w:t>
            </w:r>
          </w:p>
          <w:p w:rsidR="00000000" w:rsidRPr="00E84FE8" w:rsidP="00E84FE8">
            <w:pPr>
              <w:pStyle w:val="ListBullet2"/>
            </w:pPr>
            <w:r w:rsidRPr="00E84FE8">
              <w:t xml:space="preserve">rotor </w:t>
            </w:r>
          </w:p>
          <w:p w:rsidR="00000000" w:rsidRPr="00E84FE8" w:rsidP="00E84FE8">
            <w:pPr>
              <w:pStyle w:val="ListBullet"/>
            </w:pPr>
            <w:r w:rsidRPr="00E84FE8">
              <w:t>maintaining at least one (1) of the following starter systems:</w:t>
            </w:r>
          </w:p>
          <w:p w:rsidR="00000000" w:rsidRPr="00E84FE8" w:rsidP="00E84FE8">
            <w:pPr>
              <w:pStyle w:val="ListBullet2"/>
            </w:pPr>
            <w:r w:rsidRPr="00E84FE8">
              <w:t>static frequency converter</w:t>
            </w:r>
          </w:p>
          <w:p w:rsidR="00000000" w:rsidRPr="00E84FE8" w:rsidP="00E84FE8">
            <w:pPr>
              <w:pStyle w:val="ListBullet2"/>
            </w:pPr>
            <w:r w:rsidRPr="00E84FE8">
              <w:t>variable speed drive</w:t>
            </w:r>
          </w:p>
          <w:p w:rsidR="00000000" w:rsidRPr="00E84FE8" w:rsidP="00E84FE8">
            <w:pPr>
              <w:pStyle w:val="ListBullet"/>
            </w:pPr>
            <w:r w:rsidRPr="00E84FE8">
              <w:t>maintaining at least one (1) of the follo</w:t>
            </w:r>
            <w:r w:rsidRPr="00E84FE8">
              <w:t>wing systems:</w:t>
            </w:r>
          </w:p>
          <w:p w:rsidR="00000000" w:rsidRPr="00E84FE8" w:rsidP="00E84FE8">
            <w:pPr>
              <w:pStyle w:val="ListBullet2"/>
            </w:pPr>
            <w:r w:rsidRPr="00E84FE8">
              <w:t xml:space="preserve">control </w:t>
            </w:r>
          </w:p>
          <w:p w:rsidR="00000000" w:rsidRPr="00E84FE8" w:rsidP="00E84FE8">
            <w:pPr>
              <w:pStyle w:val="ListBullet2"/>
            </w:pPr>
            <w:r w:rsidRPr="00E84FE8">
              <w:t xml:space="preserve">protection and alarm </w:t>
            </w:r>
          </w:p>
          <w:p w:rsidR="00000000" w:rsidRPr="00E84FE8" w:rsidP="00E84FE8">
            <w:pPr>
              <w:pStyle w:val="ListBullet2"/>
            </w:pPr>
            <w:r w:rsidRPr="00E84FE8">
              <w:t>excitation/automatic voltage regulator (AVR)</w:t>
            </w:r>
          </w:p>
          <w:p w:rsidR="00000000" w:rsidRPr="00E84FE8" w:rsidP="00E84FE8">
            <w:pPr>
              <w:pStyle w:val="ListBullet"/>
            </w:pPr>
            <w:r w:rsidRPr="00E84FE8">
              <w:t>maintaining the following systems:</w:t>
            </w:r>
          </w:p>
          <w:p w:rsidR="00000000" w:rsidRPr="00E84FE8" w:rsidP="00E84FE8">
            <w:pPr>
              <w:pStyle w:val="ListBullet2"/>
            </w:pPr>
            <w:r w:rsidRPr="00E84FE8">
              <w:t>cooling</w:t>
            </w:r>
          </w:p>
          <w:p w:rsidR="00000000" w:rsidRPr="00E84FE8" w:rsidP="00E84FE8">
            <w:pPr>
              <w:pStyle w:val="ListBullet2"/>
            </w:pPr>
            <w:r w:rsidRPr="00E84FE8">
              <w:t>lubrication.</w:t>
            </w:r>
          </w:p>
        </w:tc>
      </w:tr>
    </w:tbl>
    <w:p w:rsidR="00000000" w:rsidRPr="00E84FE8" w:rsidP="00E84FE8">
      <w:pPr>
        <w:pStyle w:val="NoPaddingFontSize1"/>
      </w:pPr>
    </w:p>
    <w:p w:rsidR="00000000" w:rsidRPr="00E84FE8" w:rsidP="00E84FE8">
      <w:pPr>
        <w:pStyle w:val="AllowPageBreak"/>
      </w:pPr>
    </w:p>
    <w:p w:rsidR="00000000" w:rsidRPr="00E84FE8" w:rsidP="00E84FE8">
      <w:pPr>
        <w:pStyle w:val="Heading1"/>
      </w:pPr>
      <w:bookmarkStart w:id="13" w:name="O_1237458"/>
      <w:bookmarkEnd w:id="13"/>
      <w:r w:rsidRPr="00E84FE8">
        <w:t>Knowledge Evidence</w:t>
      </w:r>
    </w:p>
    <w:tbl>
      <w:tblPr>
        <w:tblW w:w="9497" w:type="dxa"/>
        <w:tblLayout w:type="fixed"/>
        <w:tblCellMar>
          <w:left w:w="62" w:type="dxa"/>
          <w:right w:w="62" w:type="dxa"/>
        </w:tblCellMar>
        <w:tblLook w:val="0000"/>
      </w:tblPr>
      <w:tblGrid>
        <w:gridCol w:w="9497"/>
      </w:tblGrid>
      <w:tr w:rsidTr="00E84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4FE8">
            <w:pPr>
              <w:pStyle w:val="BodyText"/>
              <w:rPr>
                <w:lang w:val="en-NZ"/>
              </w:rPr>
            </w:pPr>
            <w:r w:rsidRPr="00E84FE8">
              <w:t>Evidence required to demonstrate competence in this unit must be relevant to and satisfy all the requirements of the elements and performance criteria and include knowledge of:</w:t>
            </w:r>
          </w:p>
        </w:tc>
      </w:tr>
      <w:tr w:rsidTr="00E84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FE8" w:rsidP="00E84FE8">
            <w:pPr>
              <w:pStyle w:val="ListBullet"/>
            </w:pPr>
            <w:r w:rsidRPr="00E84FE8">
              <w:t>relevant legislation, regulations, standards, codes of practice and organisat</w:t>
            </w:r>
            <w:r w:rsidRPr="00E84FE8">
              <w:t>ional workplace requirements, including WHS/OHS requirements</w:t>
            </w:r>
          </w:p>
          <w:p w:rsidR="00000000" w:rsidRPr="00E84FE8" w:rsidP="00E84FE8">
            <w:pPr>
              <w:pStyle w:val="ListBullet"/>
            </w:pPr>
            <w:r w:rsidRPr="00E84FE8">
              <w:t>hazard, risk assessment and risk control requirements, including potential hazards</w:t>
            </w:r>
          </w:p>
          <w:p w:rsidR="00000000" w:rsidRPr="00E84FE8" w:rsidP="00E84FE8">
            <w:pPr>
              <w:pStyle w:val="ListBullet"/>
            </w:pPr>
            <w:r w:rsidRPr="00E84FE8">
              <w:t>types and application of PPE</w:t>
            </w:r>
          </w:p>
          <w:p w:rsidR="00000000" w:rsidRPr="00E84FE8" w:rsidP="00E84FE8">
            <w:pPr>
              <w:pStyle w:val="ListBullet"/>
            </w:pPr>
            <w:r w:rsidRPr="00E84FE8">
              <w:t>safe use of plant, tools and equipment</w:t>
            </w:r>
          </w:p>
          <w:p w:rsidR="00000000" w:rsidRPr="00E84FE8" w:rsidP="00E84FE8">
            <w:pPr>
              <w:pStyle w:val="ListBullet"/>
            </w:pPr>
            <w:r w:rsidRPr="00E84FE8">
              <w:t>application, purpose and types of permits an</w:t>
            </w:r>
            <w:r w:rsidRPr="00E84FE8">
              <w:t>d access authorities</w:t>
            </w:r>
          </w:p>
          <w:p w:rsidR="00000000" w:rsidRPr="00E84FE8" w:rsidP="00E84FE8">
            <w:pPr>
              <w:pStyle w:val="ListBullet"/>
            </w:pPr>
            <w:r w:rsidRPr="00E84FE8">
              <w:t>events constituting an unplanned event or incident</w:t>
            </w:r>
          </w:p>
          <w:p w:rsidR="00000000" w:rsidRPr="00E84FE8" w:rsidP="00E84FE8">
            <w:pPr>
              <w:pStyle w:val="ListBullet"/>
            </w:pPr>
            <w:r w:rsidRPr="00E84FE8">
              <w:t>procedures for responding to an unplanned event or incident</w:t>
            </w:r>
          </w:p>
          <w:p w:rsidR="00000000" w:rsidRPr="00E84FE8" w:rsidP="00E84FE8">
            <w:pPr>
              <w:pStyle w:val="ListBullet"/>
            </w:pPr>
            <w:r w:rsidRPr="00E84FE8">
              <w:t>workplace records, reports and documentation</w:t>
            </w:r>
          </w:p>
          <w:p w:rsidR="00000000" w:rsidRPr="00E84FE8" w:rsidP="00E84FE8">
            <w:pPr>
              <w:pStyle w:val="ListBullet"/>
            </w:pPr>
            <w:r w:rsidRPr="00E84FE8">
              <w:t>evaluation of equipment serviceability</w:t>
            </w:r>
          </w:p>
          <w:p w:rsidR="00000000" w:rsidRPr="00E84FE8" w:rsidP="00E84FE8">
            <w:pPr>
              <w:pStyle w:val="ListBullet"/>
            </w:pPr>
            <w:r w:rsidRPr="00E84FE8">
              <w:t xml:space="preserve">identification and procurement of materials and apparatus </w:t>
            </w:r>
          </w:p>
          <w:p w:rsidR="00000000" w:rsidRPr="00E84FE8" w:rsidP="00E84FE8">
            <w:pPr>
              <w:pStyle w:val="ListBullet"/>
            </w:pPr>
            <w:r w:rsidRPr="00E84FE8">
              <w:t>operational manuals and system diagrams</w:t>
            </w:r>
          </w:p>
          <w:p w:rsidR="00000000" w:rsidRPr="00E84FE8" w:rsidP="00E84FE8">
            <w:pPr>
              <w:pStyle w:val="ListBullet"/>
            </w:pPr>
            <w:r w:rsidRPr="00E84FE8">
              <w:t>stator and rotor windings, including:</w:t>
            </w:r>
          </w:p>
          <w:p w:rsidR="00000000" w:rsidRPr="00E84FE8" w:rsidP="00E84FE8">
            <w:pPr>
              <w:pStyle w:val="ListBullet2"/>
            </w:pPr>
            <w:r w:rsidRPr="00E84FE8">
              <w:t>types</w:t>
            </w:r>
          </w:p>
          <w:p w:rsidR="00000000" w:rsidRPr="00E84FE8" w:rsidP="00E84FE8">
            <w:pPr>
              <w:pStyle w:val="ListBullet2"/>
            </w:pPr>
            <w:r w:rsidRPr="00E84FE8">
              <w:t>characteristics</w:t>
            </w:r>
          </w:p>
          <w:p w:rsidR="00000000" w:rsidRPr="00E84FE8" w:rsidP="00E84FE8">
            <w:pPr>
              <w:pStyle w:val="ListBullet2"/>
            </w:pPr>
            <w:r w:rsidRPr="00E84FE8">
              <w:t>maintenance requirements</w:t>
            </w:r>
          </w:p>
          <w:p w:rsidR="00000000" w:rsidRPr="00E84FE8" w:rsidP="00E84FE8">
            <w:pPr>
              <w:pStyle w:val="ListBullet2"/>
            </w:pPr>
            <w:r w:rsidRPr="00E84FE8">
              <w:t>insulation measurement</w:t>
            </w:r>
          </w:p>
          <w:p w:rsidR="00000000" w:rsidRPr="00E84FE8" w:rsidP="00E84FE8">
            <w:pPr>
              <w:pStyle w:val="ListBullet2"/>
            </w:pPr>
            <w:r w:rsidRPr="00E84FE8">
              <w:t>common defects and rectification</w:t>
            </w:r>
          </w:p>
          <w:p w:rsidR="00000000" w:rsidRPr="00E84FE8" w:rsidP="00E84FE8">
            <w:pPr>
              <w:pStyle w:val="ListBullet"/>
            </w:pPr>
            <w:r w:rsidRPr="00E84FE8">
              <w:t>starter system</w:t>
            </w:r>
            <w:r w:rsidRPr="00E84FE8">
              <w:t>s, including:</w:t>
            </w:r>
          </w:p>
          <w:p w:rsidR="00000000" w:rsidRPr="00E84FE8" w:rsidP="00E84FE8">
            <w:pPr>
              <w:pStyle w:val="ListBullet2"/>
            </w:pPr>
            <w:r w:rsidRPr="00E84FE8">
              <w:t>types</w:t>
            </w:r>
          </w:p>
          <w:p w:rsidR="00000000" w:rsidRPr="00E84FE8" w:rsidP="00E84FE8">
            <w:pPr>
              <w:pStyle w:val="ListBullet2"/>
            </w:pPr>
            <w:r w:rsidRPr="00E84FE8">
              <w:t>characteristics</w:t>
            </w:r>
          </w:p>
          <w:p w:rsidR="00000000" w:rsidRPr="00E84FE8" w:rsidP="00E84FE8">
            <w:pPr>
              <w:pStyle w:val="ListBullet2"/>
            </w:pPr>
            <w:r w:rsidRPr="00E84FE8">
              <w:t>maintenance requirements</w:t>
            </w:r>
          </w:p>
          <w:p w:rsidR="00000000" w:rsidRPr="00E84FE8" w:rsidP="00E84FE8">
            <w:pPr>
              <w:pStyle w:val="ListBullet2"/>
            </w:pPr>
            <w:r w:rsidRPr="00E84FE8">
              <w:t>insulation measurement</w:t>
            </w:r>
          </w:p>
          <w:p w:rsidR="00000000" w:rsidRPr="00E84FE8" w:rsidP="00E84FE8">
            <w:pPr>
              <w:pStyle w:val="ListBullet2"/>
            </w:pPr>
            <w:r w:rsidRPr="00E84FE8">
              <w:t>common defects and rectification</w:t>
            </w:r>
          </w:p>
          <w:p w:rsidR="00000000" w:rsidRPr="00E84FE8" w:rsidP="00E84FE8">
            <w:pPr>
              <w:pStyle w:val="ListBullet"/>
            </w:pPr>
            <w:r w:rsidRPr="00E84FE8">
              <w:t>control systems, including:</w:t>
            </w:r>
          </w:p>
          <w:p w:rsidR="00000000" w:rsidRPr="00E84FE8" w:rsidP="00E84FE8">
            <w:pPr>
              <w:pStyle w:val="ListBullet2"/>
            </w:pPr>
            <w:r w:rsidRPr="00E84FE8">
              <w:t>types</w:t>
            </w:r>
          </w:p>
          <w:p w:rsidR="00000000" w:rsidRPr="00E84FE8" w:rsidP="00E84FE8">
            <w:pPr>
              <w:pStyle w:val="ListBullet2"/>
            </w:pPr>
            <w:r w:rsidRPr="00E84FE8">
              <w:t>characteristics</w:t>
            </w:r>
          </w:p>
          <w:p w:rsidR="00000000" w:rsidRPr="00E84FE8" w:rsidP="00E84FE8">
            <w:pPr>
              <w:pStyle w:val="ListBullet2"/>
            </w:pPr>
            <w:r w:rsidRPr="00E84FE8">
              <w:t>maintenance requirements</w:t>
            </w:r>
          </w:p>
          <w:p w:rsidR="00000000" w:rsidRPr="00E84FE8" w:rsidP="00E84FE8">
            <w:pPr>
              <w:pStyle w:val="ListBullet2"/>
            </w:pPr>
            <w:r w:rsidRPr="00E84FE8">
              <w:t>common defects and rectification</w:t>
            </w:r>
          </w:p>
          <w:p w:rsidR="00000000" w:rsidRPr="00E84FE8" w:rsidP="00E84FE8">
            <w:pPr>
              <w:pStyle w:val="ListBullet2"/>
            </w:pPr>
            <w:r w:rsidRPr="00E84FE8">
              <w:t>excitation/AVR</w:t>
            </w:r>
          </w:p>
          <w:p w:rsidR="00000000" w:rsidRPr="00E84FE8" w:rsidP="00E84FE8">
            <w:pPr>
              <w:pStyle w:val="ListBullet"/>
            </w:pPr>
            <w:r w:rsidRPr="00E84FE8">
              <w:t>protection and alarm systems, including:</w:t>
            </w:r>
          </w:p>
          <w:p w:rsidR="00000000" w:rsidRPr="00E84FE8" w:rsidP="00E84FE8">
            <w:pPr>
              <w:pStyle w:val="ListBullet2"/>
            </w:pPr>
            <w:r w:rsidRPr="00E84FE8">
              <w:t>types</w:t>
            </w:r>
          </w:p>
          <w:p w:rsidR="00000000" w:rsidRPr="00E84FE8" w:rsidP="00E84FE8">
            <w:pPr>
              <w:pStyle w:val="ListBullet2"/>
            </w:pPr>
            <w:r w:rsidRPr="00E84FE8">
              <w:t>characteristics</w:t>
            </w:r>
          </w:p>
          <w:p w:rsidR="00000000" w:rsidRPr="00E84FE8" w:rsidP="00E84FE8">
            <w:pPr>
              <w:pStyle w:val="ListBullet2"/>
            </w:pPr>
            <w:r w:rsidRPr="00E84FE8">
              <w:t>maintenance requirements</w:t>
            </w:r>
          </w:p>
          <w:p w:rsidR="00000000" w:rsidRPr="00E84FE8" w:rsidP="00E84FE8">
            <w:pPr>
              <w:pStyle w:val="ListBullet2"/>
            </w:pPr>
            <w:r w:rsidRPr="00E84FE8">
              <w:t>secondary signal injection tests</w:t>
            </w:r>
          </w:p>
          <w:p w:rsidR="00000000" w:rsidRPr="00E84FE8" w:rsidP="00E84FE8">
            <w:pPr>
              <w:pStyle w:val="ListBullet2"/>
            </w:pPr>
            <w:r w:rsidRPr="00E84FE8">
              <w:t>common defects and rectification</w:t>
            </w:r>
          </w:p>
          <w:p w:rsidR="00000000" w:rsidRPr="00E84FE8" w:rsidP="00E84FE8">
            <w:pPr>
              <w:pStyle w:val="ListBullet"/>
            </w:pPr>
            <w:r w:rsidRPr="00E84FE8">
              <w:t>substation fundamentals, including:</w:t>
            </w:r>
          </w:p>
          <w:p w:rsidR="00000000" w:rsidRPr="00E84FE8" w:rsidP="00E84FE8">
            <w:pPr>
              <w:pStyle w:val="ListBullet2"/>
            </w:pPr>
            <w:r w:rsidRPr="00E84FE8">
              <w:t>transformers</w:t>
            </w:r>
          </w:p>
          <w:p w:rsidR="00000000" w:rsidRPr="00E84FE8" w:rsidP="00E84FE8">
            <w:pPr>
              <w:pStyle w:val="ListBullet2"/>
            </w:pPr>
            <w:r w:rsidRPr="00E84FE8">
              <w:t>on-load tap changers (OLTC)</w:t>
            </w:r>
          </w:p>
          <w:p w:rsidR="00000000" w:rsidRPr="00E84FE8" w:rsidP="00E84FE8">
            <w:pPr>
              <w:pStyle w:val="ListBullet2"/>
            </w:pPr>
            <w:r w:rsidRPr="00E84FE8">
              <w:t>balancing reactive plant</w:t>
            </w:r>
          </w:p>
          <w:p w:rsidR="00000000" w:rsidRPr="00E84FE8" w:rsidP="00E84FE8">
            <w:pPr>
              <w:pStyle w:val="ListBullet"/>
            </w:pPr>
            <w:r w:rsidRPr="00E84FE8">
              <w:t>additional components of synchronous condensers, including:</w:t>
            </w:r>
          </w:p>
          <w:p w:rsidR="00000000" w:rsidRPr="00E84FE8" w:rsidP="00E84FE8">
            <w:pPr>
              <w:pStyle w:val="ListBullet2"/>
            </w:pPr>
            <w:r w:rsidRPr="00E84FE8">
              <w:t>prime mover</w:t>
            </w:r>
          </w:p>
          <w:p w:rsidR="00000000" w:rsidRPr="00E84FE8" w:rsidP="00E84FE8">
            <w:pPr>
              <w:pStyle w:val="ListBullet2"/>
            </w:pPr>
            <w:r w:rsidRPr="00E84FE8">
              <w:t>flywheel</w:t>
            </w:r>
          </w:p>
          <w:p w:rsidR="00000000" w:rsidRPr="00E84FE8" w:rsidP="00E84FE8">
            <w:pPr>
              <w:pStyle w:val="ListBullet2"/>
            </w:pPr>
            <w:r w:rsidRPr="00E84FE8">
              <w:t>starter motor</w:t>
            </w:r>
          </w:p>
          <w:p w:rsidR="00000000" w:rsidRPr="00E84FE8" w:rsidP="00E84FE8">
            <w:pPr>
              <w:pStyle w:val="ListBullet2"/>
            </w:pPr>
            <w:r w:rsidRPr="00E84FE8">
              <w:t>clutch</w:t>
            </w:r>
          </w:p>
          <w:p w:rsidR="00000000" w:rsidRPr="00E84FE8" w:rsidP="00E84FE8">
            <w:pPr>
              <w:pStyle w:val="ListBullet2"/>
            </w:pPr>
            <w:r w:rsidRPr="00E84FE8">
              <w:t>hydraulic/pneumatic starter</w:t>
            </w:r>
          </w:p>
          <w:p w:rsidR="00000000" w:rsidRPr="00E84FE8" w:rsidP="00E84FE8">
            <w:pPr>
              <w:pStyle w:val="ListBullet2"/>
            </w:pPr>
            <w:r w:rsidRPr="00E84FE8">
              <w:t>dynamic braking</w:t>
            </w:r>
          </w:p>
          <w:p w:rsidR="00000000" w:rsidRPr="00E84FE8" w:rsidP="00E84FE8">
            <w:pPr>
              <w:pStyle w:val="ListBullet"/>
            </w:pPr>
            <w:r w:rsidRPr="00E84FE8">
              <w:t>system, plant and component diagrams/plans, drawings and manuals</w:t>
            </w:r>
          </w:p>
          <w:p w:rsidR="00000000" w:rsidRPr="00E84FE8" w:rsidP="00E84FE8">
            <w:pPr>
              <w:pStyle w:val="ListBullet"/>
            </w:pPr>
            <w:r w:rsidRPr="00E84FE8">
              <w:t>specialised tools, including:</w:t>
            </w:r>
          </w:p>
          <w:p w:rsidR="00000000" w:rsidRPr="00E84FE8" w:rsidP="00E84FE8">
            <w:pPr>
              <w:pStyle w:val="ListBullet2"/>
            </w:pPr>
            <w:r w:rsidRPr="00E84FE8">
              <w:t>types, construction and function</w:t>
            </w:r>
          </w:p>
          <w:p w:rsidR="00000000" w:rsidRPr="00E84FE8" w:rsidP="00E84FE8">
            <w:pPr>
              <w:pStyle w:val="ListBullet2"/>
            </w:pPr>
            <w:r w:rsidRPr="00E84FE8">
              <w:t>calibration</w:t>
            </w:r>
          </w:p>
          <w:p w:rsidR="00000000" w:rsidRPr="00E84FE8" w:rsidP="00E84FE8">
            <w:pPr>
              <w:pStyle w:val="ListBullet2"/>
            </w:pPr>
            <w:r w:rsidRPr="00E84FE8">
              <w:t>care and maintenance</w:t>
            </w:r>
          </w:p>
          <w:p w:rsidR="00000000" w:rsidRPr="00E84FE8" w:rsidP="00E84FE8">
            <w:pPr>
              <w:pStyle w:val="ListBullet"/>
            </w:pPr>
            <w:r w:rsidRPr="00E84FE8">
              <w:t>fault conditions and symptoms, including:</w:t>
            </w:r>
          </w:p>
          <w:p w:rsidR="00000000" w:rsidRPr="00E84FE8" w:rsidP="00E84FE8">
            <w:pPr>
              <w:pStyle w:val="ListBullet2"/>
            </w:pPr>
            <w:r w:rsidRPr="00E84FE8">
              <w:t xml:space="preserve">types and typical fault conditions </w:t>
            </w:r>
          </w:p>
          <w:p w:rsidR="00000000" w:rsidRPr="00E84FE8" w:rsidP="00E84FE8">
            <w:pPr>
              <w:pStyle w:val="ListBullet2"/>
            </w:pPr>
            <w:r w:rsidRPr="00E84FE8">
              <w:t xml:space="preserve">interpretation of mechanical faults </w:t>
            </w:r>
          </w:p>
          <w:p w:rsidR="00000000" w:rsidRPr="00E84FE8" w:rsidP="00E84FE8">
            <w:pPr>
              <w:pStyle w:val="ListBullet2"/>
            </w:pPr>
            <w:r w:rsidRPr="00E84FE8">
              <w:t xml:space="preserve">interpretation of electrical faults </w:t>
            </w:r>
          </w:p>
          <w:p w:rsidR="00000000" w:rsidRPr="00E84FE8" w:rsidP="00E84FE8">
            <w:pPr>
              <w:pStyle w:val="ListBullet2"/>
            </w:pPr>
            <w:r w:rsidRPr="00E84FE8">
              <w:t>auxil</w:t>
            </w:r>
            <w:r w:rsidRPr="00E84FE8">
              <w:t>iary systems</w:t>
            </w:r>
          </w:p>
          <w:p w:rsidR="00000000" w:rsidRPr="00E84FE8" w:rsidP="00E84FE8">
            <w:pPr>
              <w:pStyle w:val="ListBullet2"/>
            </w:pPr>
            <w:r w:rsidRPr="00E84FE8">
              <w:t>protection and alarm systems</w:t>
            </w:r>
          </w:p>
          <w:p w:rsidR="00000000" w:rsidRPr="00E84FE8" w:rsidP="00E84FE8">
            <w:pPr>
              <w:pStyle w:val="ListBullet"/>
            </w:pPr>
            <w:r w:rsidRPr="00E84FE8">
              <w:t>synchronous condenser principles, including:</w:t>
            </w:r>
          </w:p>
          <w:p w:rsidR="00000000" w:rsidRPr="00E84FE8" w:rsidP="00E84FE8">
            <w:pPr>
              <w:pStyle w:val="ListBullet2"/>
            </w:pPr>
            <w:r w:rsidRPr="00E84FE8">
              <w:t>ratings</w:t>
            </w:r>
          </w:p>
          <w:p w:rsidR="00000000" w:rsidRPr="00E84FE8" w:rsidP="00E84FE8">
            <w:pPr>
              <w:pStyle w:val="ListBullet2"/>
            </w:pPr>
            <w:r w:rsidRPr="00E84FE8">
              <w:t>control systems</w:t>
            </w:r>
          </w:p>
          <w:p w:rsidR="00000000" w:rsidRPr="00E84FE8" w:rsidP="00E84FE8">
            <w:pPr>
              <w:pStyle w:val="ListBullet2"/>
            </w:pPr>
            <w:r w:rsidRPr="00E84FE8">
              <w:t>synchronising</w:t>
            </w:r>
          </w:p>
          <w:p w:rsidR="00000000" w:rsidRPr="00E84FE8" w:rsidP="00E84FE8">
            <w:pPr>
              <w:pStyle w:val="ListBullet2"/>
            </w:pPr>
            <w:r w:rsidRPr="00E84FE8">
              <w:t xml:space="preserve">components and ancillary equipment </w:t>
            </w:r>
          </w:p>
          <w:p w:rsidR="00000000" w:rsidRPr="00E84FE8" w:rsidP="00E84FE8">
            <w:pPr>
              <w:pStyle w:val="ListBullet2"/>
            </w:pPr>
            <w:r w:rsidRPr="00E84FE8">
              <w:t>cooling and lubrication systems</w:t>
            </w:r>
          </w:p>
          <w:p w:rsidR="00000000" w:rsidRPr="00E84FE8" w:rsidP="00E84FE8">
            <w:pPr>
              <w:pStyle w:val="ListBullet2"/>
            </w:pPr>
            <w:r w:rsidRPr="00E84FE8">
              <w:t xml:space="preserve">types, characteristics and capabilities </w:t>
            </w:r>
          </w:p>
          <w:p w:rsidR="00000000" w:rsidRPr="00E84FE8" w:rsidP="00E84FE8">
            <w:pPr>
              <w:pStyle w:val="ListBullet2"/>
            </w:pPr>
            <w:r w:rsidRPr="00E84FE8">
              <w:t>associated control housings</w:t>
            </w:r>
          </w:p>
          <w:p w:rsidR="00000000" w:rsidRPr="00E84FE8" w:rsidP="00E84FE8">
            <w:pPr>
              <w:pStyle w:val="ListBullet2"/>
            </w:pPr>
            <w:r w:rsidRPr="00E84FE8">
              <w:t>serviceability of components</w:t>
            </w:r>
          </w:p>
          <w:p w:rsidR="00000000" w:rsidRPr="00E84FE8" w:rsidP="00E84FE8">
            <w:pPr>
              <w:pStyle w:val="ListBullet2"/>
            </w:pPr>
            <w:r w:rsidRPr="00E84FE8">
              <w:t>operating constraints.</w:t>
            </w:r>
          </w:p>
        </w:tc>
      </w:tr>
    </w:tbl>
    <w:p w:rsidR="00000000" w:rsidRPr="00E84FE8" w:rsidP="00E84FE8">
      <w:pPr>
        <w:pStyle w:val="NoPaddingFontSize1"/>
      </w:pPr>
    </w:p>
    <w:p w:rsidR="00000000" w:rsidRPr="00E84FE8" w:rsidP="00E84FE8">
      <w:pPr>
        <w:pStyle w:val="AllowPageBreak"/>
      </w:pPr>
    </w:p>
    <w:p w:rsidR="00000000" w:rsidRPr="00E84FE8" w:rsidP="00E84FE8">
      <w:pPr>
        <w:pStyle w:val="Heading1"/>
      </w:pPr>
      <w:bookmarkStart w:id="14" w:name="O_1237459"/>
      <w:bookmarkEnd w:id="14"/>
      <w:r w:rsidRPr="00E84FE8">
        <w:t>Assessment Conditions</w:t>
      </w:r>
    </w:p>
    <w:tbl>
      <w:tblPr>
        <w:tblW w:w="9497" w:type="dxa"/>
        <w:tblLayout w:type="fixed"/>
        <w:tblCellMar>
          <w:left w:w="62" w:type="dxa"/>
          <w:right w:w="62" w:type="dxa"/>
        </w:tblCellMar>
        <w:tblLook w:val="0000"/>
      </w:tblPr>
      <w:tblGrid>
        <w:gridCol w:w="9497"/>
      </w:tblGrid>
      <w:tr w:rsidTr="00E84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FE8" w:rsidP="00E84FE8">
            <w:pPr>
              <w:pStyle w:val="BodyText"/>
            </w:pPr>
            <w:r w:rsidRPr="00E84FE8">
              <w:t>Assessors must hold credentials specified within the Standards for Registered Training Organisations current at the time of assessment.</w:t>
            </w:r>
          </w:p>
          <w:p w:rsidR="00000000" w:rsidRPr="00E84FE8" w:rsidP="00E84FE8">
            <w:pPr>
              <w:pStyle w:val="BodyText"/>
            </w:pPr>
            <w:r w:rsidRPr="00E84FE8">
              <w:t>Assessment must satisfy the Principles of Assessment and Rules of Evidence and all regulatory requirements included with</w:t>
            </w:r>
            <w:r w:rsidRPr="00E84FE8">
              <w:t>in the Standards for Registered Training Organisations current at the time of assessment.</w:t>
            </w:r>
          </w:p>
          <w:p w:rsidR="00000000" w:rsidRPr="00E84FE8" w:rsidP="00E84FE8">
            <w:pPr>
              <w:pStyle w:val="BodyText"/>
            </w:pPr>
            <w:r w:rsidRPr="00E84FE8">
              <w:t>Assessment must occur in workplace operational situations where it is appropriate to do so.</w:t>
            </w:r>
          </w:p>
          <w:p w:rsidR="00000000" w:rsidRPr="00E84FE8" w:rsidP="00E84FE8">
            <w:pPr>
              <w:pStyle w:val="BodyText"/>
            </w:pPr>
            <w:r w:rsidRPr="00E84FE8">
              <w:t>Where this is not appropriate, assessment must occur in simulated conditio</w:t>
            </w:r>
            <w:r w:rsidRPr="00E84FE8">
              <w:t>ns involving realistic and authentic activities that replicate operational workplace conditions.</w:t>
            </w:r>
          </w:p>
          <w:p w:rsidR="00000000" w:rsidRPr="00E84FE8" w:rsidP="00E84FE8">
            <w:pPr>
              <w:pStyle w:val="BodyText"/>
            </w:pPr>
            <w:r w:rsidRPr="00E84FE8">
              <w:t>Assessment processes and techniques must be appropriate to the language, literacy and numeracy requirements of the work being performed and the needs of the ca</w:t>
            </w:r>
            <w:r w:rsidRPr="00E84FE8">
              <w:t>ndidate.</w:t>
            </w:r>
          </w:p>
          <w:p w:rsidR="00000000" w:rsidRPr="00E84FE8" w:rsidP="00E84FE8">
            <w:pPr>
              <w:pStyle w:val="BodyText"/>
            </w:pPr>
            <w:r w:rsidRPr="00E84FE8">
              <w:t>Resources for assessment must include access to:</w:t>
            </w:r>
          </w:p>
          <w:p w:rsidR="00000000" w:rsidRPr="00E84FE8" w:rsidP="00E84FE8">
            <w:pPr>
              <w:pStyle w:val="ListBullet"/>
            </w:pPr>
            <w:r w:rsidRPr="00E84FE8">
              <w:t>relevant and appropriate materials, tools, equipment and PPE currently used in industry</w:t>
            </w:r>
          </w:p>
          <w:p w:rsidR="00000000" w:rsidRPr="00E84FE8" w:rsidP="00E84FE8">
            <w:pPr>
              <w:pStyle w:val="ListBullet"/>
            </w:pPr>
            <w:r w:rsidRPr="00E84FE8">
              <w:t>applicable documentation, including workplace requirements, equipment specifications, regulations, codes of p</w:t>
            </w:r>
            <w:r w:rsidRPr="00E84FE8">
              <w:t>ractice and operation manuals.</w:t>
            </w:r>
          </w:p>
        </w:tc>
      </w:tr>
    </w:tbl>
    <w:p w:rsidR="00000000" w:rsidRPr="00E84FE8" w:rsidP="00E84FE8">
      <w:pPr>
        <w:pStyle w:val="NoPaddingFontSize1"/>
      </w:pPr>
    </w:p>
    <w:p w:rsidR="00000000" w:rsidRPr="00E84FE8" w:rsidP="00E84FE8">
      <w:pPr>
        <w:pStyle w:val="AllowPageBreak"/>
      </w:pPr>
    </w:p>
    <w:p w:rsidR="00000000" w:rsidRPr="00E84FE8" w:rsidP="00E84FE8">
      <w:pPr>
        <w:pStyle w:val="Heading1"/>
      </w:pPr>
      <w:bookmarkStart w:id="15" w:name="O_1237462"/>
      <w:bookmarkEnd w:id="15"/>
      <w:r w:rsidRPr="00E84FE8">
        <w:t>Links</w:t>
      </w:r>
    </w:p>
    <w:p w:rsidR="00000000" w:rsidRPr="00E84FE8" w:rsidP="00F24948">
      <w:pPr>
        <w:pStyle w:val="BodyText"/>
      </w:pPr>
      <w:r w:rsidRPr="00E84FE8">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3074DC">
        <w:rPr>
          <w:rStyle w:val="Hyperlink"/>
        </w:rPr>
        <w:t>https://vetnet.gov.au/Pages/TrainingDocs.aspx?q=229bace1-b7bc-4653-9300-dffb13ecfad7</w:t>
      </w:r>
      <w:r>
        <w:fldChar w:fldCharType="end"/>
      </w:r>
    </w:p>
    <w:p w:rsidR="00000000" w:rsidRPr="00E84FE8" w:rsidP="00E84FE8"/>
    <w:sectPr w:rsidSect="00E84F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F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FE8" w:rsidRPr="00F24948" w:rsidP="00F249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F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948" w:rsidP="00E84F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24948" w:rsidP="00E84F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24948" w:rsidP="00E84F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FE8" w:rsidP="00E84FE8">
    <w:pPr>
      <w:pStyle w:val="Footer"/>
      <w:framePr w:wrap="around"/>
    </w:pPr>
    <w:r>
      <w:fldChar w:fldCharType="begin"/>
    </w:r>
    <w:r>
      <w:instrText xml:space="preserve"> DOCPROPERTY  Subject  \* MERGEFORMAT </w:instrText>
    </w:r>
    <w:r>
      <w:fldChar w:fldCharType="separate"/>
    </w:r>
    <w:r w:rsidR="00F24948">
      <w:t>Approved</w:t>
    </w:r>
    <w:r w:rsidR="00F24948">
      <w:fldChar w:fldCharType="end"/>
    </w:r>
    <w:r>
      <w:tab/>
      <w:t xml:space="preserve">Page </w:t>
    </w:r>
    <w:r>
      <w:fldChar w:fldCharType="begin"/>
    </w:r>
    <w:r>
      <w:instrText xml:space="preserve"> PAGE  \* Arabic  \* MERGEFORMAT </w:instrText>
    </w:r>
    <w:r>
      <w:fldChar w:fldCharType="separate"/>
    </w:r>
    <w:r w:rsidR="00F2494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4948">
      <w:rPr>
        <w:noProof/>
      </w:rPr>
      <w:t>5</w:t>
    </w:r>
    <w:r>
      <w:rPr>
        <w:noProof/>
      </w:rPr>
      <w:fldChar w:fldCharType="end"/>
    </w:r>
  </w:p>
  <w:p w:rsidR="00E84FE8" w:rsidP="00E84FE8">
    <w:pPr>
      <w:pStyle w:val="Footer"/>
      <w:framePr w:wrap="around"/>
    </w:pPr>
    <w:r>
      <w:t xml:space="preserve">© Commonwealth of Australia, </w:t>
    </w:r>
    <w:r>
      <w:fldChar w:fldCharType="begin"/>
    </w:r>
    <w:r>
      <w:instrText xml:space="preserve"> DATE  \@ "yyyy"  \* MERGEFORMAT </w:instrText>
    </w:r>
    <w:r>
      <w:fldChar w:fldCharType="separate"/>
    </w:r>
    <w:r w:rsidR="00F24948">
      <w:rPr>
        <w:noProof/>
      </w:rPr>
      <w:t>2025</w:t>
    </w:r>
    <w:r>
      <w:fldChar w:fldCharType="end"/>
    </w:r>
    <w:r>
      <w:tab/>
    </w:r>
    <w:r>
      <w:fldChar w:fldCharType="begin"/>
    </w:r>
    <w:r>
      <w:instrText xml:space="preserve"> DOCPROPERTY  Author  \* MERGEFORMAT </w:instrText>
    </w:r>
    <w:r>
      <w:fldChar w:fldCharType="separate"/>
    </w:r>
    <w:r w:rsidR="00F24948">
      <w:t>Powering Skills Organisation</w:t>
    </w:r>
    <w:r w:rsidR="00F24948">
      <w:fldChar w:fldCharType="end"/>
    </w:r>
  </w:p>
  <w:p w:rsidR="00E84FE8" w:rsidP="00E84F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F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9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4FE8" w:rsidRPr="00F24948" w:rsidP="00F249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F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948" w:rsidRPr="002D2AF8" w:rsidP="00E84FE8">
    <w:pPr>
      <w:pStyle w:val="Header"/>
      <w:framePr w:wrap="around"/>
    </w:pPr>
    <w:r>
      <w:fldChar w:fldCharType="begin"/>
    </w:r>
    <w:r>
      <w:instrText xml:space="preserve"> TITLE   \* MERGEFORMAT </w:instrText>
    </w:r>
    <w:r>
      <w:fldChar w:fldCharType="separate"/>
    </w:r>
    <w:r>
      <w:t>UETDRSB016 Maintain synchronous condensers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4948" w:rsidP="00E84F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FE8" w:rsidRPr="002D2AF8" w:rsidP="00E84FE8">
    <w:pPr>
      <w:pStyle w:val="Header"/>
      <w:framePr w:wrap="around"/>
    </w:pPr>
    <w:r>
      <w:fldChar w:fldCharType="begin"/>
    </w:r>
    <w:r>
      <w:instrText xml:space="preserve"> TITLE   \* MERGEFORMAT </w:instrText>
    </w:r>
    <w:r>
      <w:fldChar w:fldCharType="separate"/>
    </w:r>
    <w:r w:rsidR="00F24948">
      <w:t>UETDRSB016 Maintain synchronous condensers</w:t>
    </w:r>
    <w:r w:rsidR="00F24948">
      <w:fldChar w:fldCharType="end"/>
    </w:r>
    <w:r>
      <w:tab/>
      <w:t xml:space="preserve">Date this document was generated: </w:t>
    </w:r>
    <w:r>
      <w:fldChar w:fldCharType="begin"/>
    </w:r>
    <w:r>
      <w:instrText xml:space="preserve"> CREATEDATE  \@ "d MMMM yyyy"  \* MERGEFORMAT </w:instrText>
    </w:r>
    <w:r>
      <w:fldChar w:fldCharType="separate"/>
    </w:r>
    <w:r w:rsidR="00F24948">
      <w:rPr>
        <w:noProof/>
      </w:rPr>
      <w:t>2 March 2025</w:t>
    </w:r>
    <w:r>
      <w:fldChar w:fldCharType="end"/>
    </w:r>
  </w:p>
  <w:p w:rsidR="00E84FE8" w:rsidP="00E84F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646B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D6E9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147C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F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4FE8"/>
    <w:pPr>
      <w:spacing w:before="360" w:after="60"/>
      <w:outlineLvl w:val="0"/>
    </w:pPr>
    <w:rPr>
      <w:sz w:val="32"/>
    </w:rPr>
  </w:style>
  <w:style w:type="paragraph" w:styleId="Heading2">
    <w:name w:val="heading 2"/>
    <w:basedOn w:val="HeadingBase"/>
    <w:next w:val="BodyText"/>
    <w:link w:val="Heading2Char"/>
    <w:qFormat/>
    <w:rsid w:val="00E84FE8"/>
    <w:pPr>
      <w:keepLines/>
      <w:spacing w:before="240" w:after="120"/>
      <w:outlineLvl w:val="1"/>
    </w:pPr>
    <w:rPr>
      <w:sz w:val="28"/>
      <w:szCs w:val="40"/>
    </w:rPr>
  </w:style>
  <w:style w:type="paragraph" w:styleId="Heading3">
    <w:name w:val="heading 3"/>
    <w:basedOn w:val="HeadingBase"/>
    <w:next w:val="BodyText"/>
    <w:link w:val="Heading3Char"/>
    <w:qFormat/>
    <w:rsid w:val="00E84FE8"/>
    <w:pPr>
      <w:spacing w:before="180" w:after="120"/>
      <w:outlineLvl w:val="2"/>
    </w:pPr>
    <w:rPr>
      <w:spacing w:val="-10"/>
      <w:kern w:val="32"/>
    </w:rPr>
  </w:style>
  <w:style w:type="paragraph" w:styleId="Heading4">
    <w:name w:val="heading 4"/>
    <w:basedOn w:val="HeadingBase"/>
    <w:next w:val="BodyText"/>
    <w:link w:val="Heading4Char"/>
    <w:qFormat/>
    <w:rsid w:val="00E84FE8"/>
    <w:pPr>
      <w:spacing w:before="160" w:after="120"/>
      <w:outlineLvl w:val="3"/>
    </w:pPr>
    <w:rPr>
      <w:sz w:val="22"/>
    </w:rPr>
  </w:style>
  <w:style w:type="paragraph" w:styleId="Heading5">
    <w:name w:val="heading 5"/>
    <w:basedOn w:val="HeadingBase"/>
    <w:next w:val="Normal"/>
    <w:link w:val="Heading5Char"/>
    <w:qFormat/>
    <w:rsid w:val="00E84FE8"/>
    <w:pPr>
      <w:spacing w:before="80"/>
      <w:outlineLvl w:val="4"/>
    </w:pPr>
    <w:rPr>
      <w:color w:val="918585"/>
      <w:sz w:val="20"/>
    </w:rPr>
  </w:style>
  <w:style w:type="paragraph" w:styleId="Heading6">
    <w:name w:val="heading 6"/>
    <w:basedOn w:val="HeadingBase"/>
    <w:next w:val="Normal"/>
    <w:link w:val="Heading6Char"/>
    <w:qFormat/>
    <w:rsid w:val="00E84FE8"/>
    <w:pPr>
      <w:spacing w:before="60"/>
      <w:outlineLvl w:val="5"/>
    </w:pPr>
    <w:rPr>
      <w:color w:val="918585"/>
      <w:sz w:val="20"/>
    </w:rPr>
  </w:style>
  <w:style w:type="paragraph" w:styleId="Heading7">
    <w:name w:val="heading 7"/>
    <w:basedOn w:val="Normal"/>
    <w:next w:val="Normal"/>
    <w:link w:val="Heading7Char"/>
    <w:qFormat/>
    <w:rsid w:val="00E84FE8"/>
    <w:pPr>
      <w:ind w:left="720"/>
      <w:outlineLvl w:val="6"/>
    </w:pPr>
    <w:rPr>
      <w:i/>
    </w:rPr>
  </w:style>
  <w:style w:type="paragraph" w:styleId="Heading8">
    <w:name w:val="heading 8"/>
    <w:basedOn w:val="Normal"/>
    <w:next w:val="Normal"/>
    <w:link w:val="Heading8Char"/>
    <w:qFormat/>
    <w:rsid w:val="00E84FE8"/>
    <w:pPr>
      <w:ind w:left="720"/>
      <w:outlineLvl w:val="7"/>
    </w:pPr>
    <w:rPr>
      <w:i/>
    </w:rPr>
  </w:style>
  <w:style w:type="paragraph" w:styleId="Heading9">
    <w:name w:val="heading 9"/>
    <w:basedOn w:val="Normal"/>
    <w:next w:val="Normal"/>
    <w:link w:val="Heading9Char"/>
    <w:qFormat/>
    <w:rsid w:val="00E84FE8"/>
    <w:pPr>
      <w:ind w:left="720"/>
      <w:outlineLvl w:val="8"/>
    </w:pPr>
    <w:rPr>
      <w:i/>
    </w:rPr>
  </w:style>
  <w:style w:type="character" w:default="1" w:styleId="DefaultParagraphFont">
    <w:name w:val="Default Paragraph Font"/>
    <w:uiPriority w:val="1"/>
    <w:unhideWhenUsed/>
    <w:rsid w:val="00E84F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4FE8"/>
  </w:style>
  <w:style w:type="character" w:customStyle="1" w:styleId="Heading1Char">
    <w:name w:val="Heading 1 Char"/>
    <w:basedOn w:val="DefaultParagraphFont"/>
    <w:link w:val="Heading1"/>
    <w:rsid w:val="00E84FE8"/>
    <w:rPr>
      <w:rFonts w:ascii="Times New Roman" w:eastAsia="Times New Roman" w:hAnsi="Times New Roman" w:cs="Times New Roman"/>
      <w:b/>
      <w:sz w:val="32"/>
      <w:szCs w:val="20"/>
      <w:lang w:eastAsia="en-US"/>
    </w:rPr>
  </w:style>
  <w:style w:type="paragraph" w:styleId="BodyText">
    <w:name w:val="Body Text"/>
    <w:basedOn w:val="Normal"/>
    <w:link w:val="BodyTextChar"/>
    <w:rsid w:val="00E84F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4FE8"/>
    <w:rPr>
      <w:rFonts w:ascii="Times New Roman" w:eastAsia="Times New Roman" w:hAnsi="Times New Roman" w:cs="Times New Roman"/>
      <w:sz w:val="24"/>
      <w:lang w:eastAsia="en-US"/>
    </w:rPr>
  </w:style>
  <w:style w:type="paragraph" w:styleId="ListBullet">
    <w:name w:val="List Bullet"/>
    <w:basedOn w:val="List"/>
    <w:rsid w:val="00E84FE8"/>
    <w:pPr>
      <w:numPr>
        <w:numId w:val="12"/>
      </w:numPr>
      <w:tabs>
        <w:tab w:val="clear" w:pos="340"/>
      </w:tabs>
      <w:spacing w:before="40" w:after="40"/>
    </w:pPr>
  </w:style>
  <w:style w:type="character" w:customStyle="1" w:styleId="SpecialBold">
    <w:name w:val="Special Bold"/>
    <w:basedOn w:val="DefaultParagraphFont"/>
    <w:rsid w:val="00E84FE8"/>
    <w:rPr>
      <w:b/>
      <w:spacing w:val="0"/>
    </w:rPr>
  </w:style>
  <w:style w:type="paragraph" w:styleId="ListBullet2">
    <w:name w:val="List Bullet 2"/>
    <w:basedOn w:val="List2"/>
    <w:rsid w:val="00E84FE8"/>
    <w:pPr>
      <w:numPr>
        <w:numId w:val="13"/>
      </w:numPr>
      <w:tabs>
        <w:tab w:val="clear" w:pos="680"/>
      </w:tabs>
    </w:pPr>
  </w:style>
  <w:style w:type="character" w:styleId="Emphasis">
    <w:name w:val="Emphasis"/>
    <w:basedOn w:val="DefaultParagraphFont"/>
    <w:qFormat/>
    <w:rsid w:val="00E84FE8"/>
    <w:rPr>
      <w:i/>
    </w:rPr>
  </w:style>
  <w:style w:type="paragraph" w:customStyle="1" w:styleId="SuperHeading">
    <w:name w:val="SuperHeading"/>
    <w:basedOn w:val="Normal"/>
    <w:rsid w:val="00E84FE8"/>
    <w:pPr>
      <w:spacing w:before="240" w:after="120"/>
      <w:outlineLvl w:val="0"/>
    </w:pPr>
    <w:rPr>
      <w:rFonts w:ascii="Times New Roman" w:hAnsi="Times New Roman"/>
      <w:b/>
      <w:sz w:val="32"/>
    </w:rPr>
  </w:style>
  <w:style w:type="paragraph" w:customStyle="1" w:styleId="AllowPageBreak">
    <w:name w:val="AllowPageBreak"/>
    <w:rsid w:val="00E84FE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84F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4F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4F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4F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4F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4F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4F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4FE8"/>
    <w:rPr>
      <w:rFonts w:ascii="Courier New" w:eastAsia="Times New Roman" w:hAnsi="Courier New" w:cs="Times New Roman"/>
      <w:i/>
      <w:szCs w:val="20"/>
      <w:lang w:eastAsia="en-US"/>
    </w:rPr>
  </w:style>
  <w:style w:type="paragraph" w:customStyle="1" w:styleId="HeadingBase">
    <w:name w:val="Heading Base"/>
    <w:rsid w:val="00E84F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4FE8"/>
    <w:pPr>
      <w:tabs>
        <w:tab w:val="right" w:leader="dot" w:pos="9072"/>
      </w:tabs>
      <w:ind w:left="567"/>
    </w:pPr>
    <w:rPr>
      <w:szCs w:val="22"/>
    </w:rPr>
  </w:style>
  <w:style w:type="paragraph" w:customStyle="1" w:styleId="TOCBase">
    <w:name w:val="TOC Base"/>
    <w:rsid w:val="00E84F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4FE8"/>
    <w:pPr>
      <w:tabs>
        <w:tab w:val="right" w:leader="dot" w:pos="9072"/>
      </w:tabs>
      <w:spacing w:before="40" w:after="40"/>
      <w:ind w:left="284"/>
    </w:pPr>
    <w:rPr>
      <w:rFonts w:ascii="Times New Roman" w:hAnsi="Times New Roman"/>
    </w:rPr>
  </w:style>
  <w:style w:type="paragraph" w:styleId="TOC1">
    <w:name w:val="toc 1"/>
    <w:basedOn w:val="TOCBase"/>
    <w:next w:val="Normal"/>
    <w:rsid w:val="00E84F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4F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4FE8"/>
    <w:rPr>
      <w:rFonts w:ascii="Times New Roman" w:eastAsia="Times New Roman" w:hAnsi="Times New Roman" w:cs="Times New Roman"/>
      <w:sz w:val="16"/>
      <w:lang w:eastAsia="en-US"/>
    </w:rPr>
  </w:style>
  <w:style w:type="paragraph" w:styleId="Title">
    <w:name w:val="Title"/>
    <w:basedOn w:val="HeadingBase"/>
    <w:link w:val="TitleChar"/>
    <w:qFormat/>
    <w:rsid w:val="00E84FE8"/>
    <w:pPr>
      <w:spacing w:before="5040"/>
      <w:jc w:val="center"/>
    </w:pPr>
    <w:rPr>
      <w:sz w:val="48"/>
      <w:szCs w:val="72"/>
      <w:lang w:val="en-US"/>
    </w:rPr>
  </w:style>
  <w:style w:type="character" w:customStyle="1" w:styleId="TitleChar">
    <w:name w:val="Title Char"/>
    <w:basedOn w:val="DefaultParagraphFont"/>
    <w:link w:val="Title"/>
    <w:rsid w:val="00E84F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4FE8"/>
    <w:pPr>
      <w:tabs>
        <w:tab w:val="left" w:pos="3600"/>
        <w:tab w:val="left" w:pos="3958"/>
      </w:tabs>
    </w:pPr>
  </w:style>
  <w:style w:type="paragraph" w:styleId="List">
    <w:name w:val="List"/>
    <w:basedOn w:val="BodyText"/>
    <w:next w:val="BodyText"/>
    <w:rsid w:val="00E84FE8"/>
    <w:pPr>
      <w:tabs>
        <w:tab w:val="left" w:pos="340"/>
      </w:tabs>
      <w:spacing w:before="60" w:after="60"/>
      <w:ind w:left="340" w:hanging="340"/>
    </w:pPr>
  </w:style>
  <w:style w:type="paragraph" w:customStyle="1" w:styleId="Note">
    <w:name w:val="Note"/>
    <w:basedOn w:val="BodyText"/>
    <w:rsid w:val="00E84F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4FE8"/>
    <w:pPr>
      <w:framePr w:wrap="auto" w:hAnchor="text" w:y="6049"/>
    </w:pPr>
    <w:rPr>
      <w:color w:val="000000"/>
      <w:sz w:val="40"/>
    </w:rPr>
  </w:style>
  <w:style w:type="paragraph" w:customStyle="1" w:styleId="TOCTitle">
    <w:name w:val="TOCTitle"/>
    <w:basedOn w:val="Heading1"/>
    <w:rsid w:val="00E84FE8"/>
    <w:pPr>
      <w:spacing w:after="240"/>
      <w:jc w:val="center"/>
      <w:outlineLvl w:val="9"/>
    </w:pPr>
    <w:rPr>
      <w:caps/>
    </w:rPr>
  </w:style>
  <w:style w:type="paragraph" w:customStyle="1" w:styleId="Version">
    <w:name w:val="Version"/>
    <w:rsid w:val="00E84F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4FE8"/>
    <w:pPr>
      <w:keepNext w:val="0"/>
      <w:tabs>
        <w:tab w:val="right" w:pos="4176"/>
      </w:tabs>
      <w:ind w:left="198" w:hanging="198"/>
    </w:pPr>
    <w:rPr>
      <w:rFonts w:ascii="Garamond" w:hAnsi="Garamond"/>
    </w:rPr>
  </w:style>
  <w:style w:type="paragraph" w:styleId="IndexHeading">
    <w:name w:val="index heading"/>
    <w:basedOn w:val="Normal"/>
    <w:next w:val="Index1"/>
    <w:semiHidden/>
    <w:rsid w:val="00E84FE8"/>
    <w:pPr>
      <w:spacing w:before="120" w:after="120"/>
    </w:pPr>
    <w:rPr>
      <w:rFonts w:ascii="Arial" w:hAnsi="Arial"/>
      <w:b/>
      <w:color w:val="918585"/>
      <w:sz w:val="24"/>
    </w:rPr>
  </w:style>
  <w:style w:type="paragraph" w:styleId="Header">
    <w:name w:val="header"/>
    <w:basedOn w:val="Normal"/>
    <w:link w:val="HeaderChar"/>
    <w:rsid w:val="00E84F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4FE8"/>
    <w:rPr>
      <w:rFonts w:ascii="Times New Roman" w:eastAsia="Times New Roman" w:hAnsi="Times New Roman" w:cs="Times New Roman"/>
      <w:sz w:val="16"/>
      <w:szCs w:val="20"/>
      <w:lang w:val="en-GB" w:eastAsia="en-US"/>
    </w:rPr>
  </w:style>
  <w:style w:type="paragraph" w:customStyle="1" w:styleId="Chapter">
    <w:name w:val="Chapter"/>
    <w:basedOn w:val="Normal"/>
    <w:rsid w:val="00E84FE8"/>
    <w:pPr>
      <w:spacing w:before="240"/>
    </w:pPr>
    <w:rPr>
      <w:rFonts w:ascii="Times New Roman" w:hAnsi="Times New Roman"/>
      <w:smallCaps/>
      <w:spacing w:val="80"/>
      <w:sz w:val="28"/>
    </w:rPr>
  </w:style>
  <w:style w:type="paragraph" w:customStyle="1" w:styleId="InChapter">
    <w:name w:val="InChapter"/>
    <w:basedOn w:val="Heading3"/>
    <w:rsid w:val="00E84FE8"/>
    <w:pPr>
      <w:spacing w:after="240"/>
      <w:outlineLvl w:val="9"/>
    </w:pPr>
    <w:rPr>
      <w:noProof/>
    </w:rPr>
  </w:style>
  <w:style w:type="paragraph" w:styleId="Index2">
    <w:name w:val="index 2"/>
    <w:basedOn w:val="Normal"/>
    <w:next w:val="Normal"/>
    <w:semiHidden/>
    <w:rsid w:val="00E84FE8"/>
    <w:pPr>
      <w:tabs>
        <w:tab w:val="right" w:pos="4176"/>
      </w:tabs>
      <w:ind w:left="568" w:hanging="284"/>
    </w:pPr>
    <w:rPr>
      <w:rFonts w:ascii="Garamond" w:hAnsi="Garamond"/>
    </w:rPr>
  </w:style>
  <w:style w:type="paragraph" w:customStyle="1" w:styleId="Byline">
    <w:name w:val="Byline"/>
    <w:rsid w:val="00E84F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4FE8"/>
    <w:pPr>
      <w:tabs>
        <w:tab w:val="clear" w:pos="3600"/>
        <w:tab w:val="clear" w:pos="3958"/>
      </w:tabs>
      <w:jc w:val="right"/>
    </w:pPr>
  </w:style>
  <w:style w:type="paragraph" w:styleId="Caption">
    <w:name w:val="caption"/>
    <w:basedOn w:val="BodyText"/>
    <w:next w:val="Normal"/>
    <w:qFormat/>
    <w:rsid w:val="00E84FE8"/>
    <w:pPr>
      <w:framePr w:w="2268" w:hSpace="181" w:vSpace="181" w:wrap="around" w:vAnchor="text" w:hAnchor="page" w:x="1135" w:y="285" w:anchorLock="1"/>
    </w:pPr>
    <w:rPr>
      <w:i/>
    </w:rPr>
  </w:style>
  <w:style w:type="paragraph" w:customStyle="1" w:styleId="MiniTOCTitle">
    <w:name w:val="MiniTOCTitle"/>
    <w:basedOn w:val="Heading4"/>
    <w:rsid w:val="00E84FE8"/>
    <w:pPr>
      <w:spacing w:before="240"/>
      <w:outlineLvl w:val="9"/>
    </w:pPr>
    <w:rPr>
      <w:noProof/>
      <w:sz w:val="24"/>
    </w:rPr>
  </w:style>
  <w:style w:type="paragraph" w:customStyle="1" w:styleId="MiniTOCItem">
    <w:name w:val="MiniTOCItem"/>
    <w:basedOn w:val="ListBullet"/>
    <w:rsid w:val="00E84FE8"/>
    <w:pPr>
      <w:numPr>
        <w:numId w:val="0"/>
      </w:numPr>
      <w:tabs>
        <w:tab w:val="right" w:leader="dot" w:pos="6521"/>
      </w:tabs>
      <w:spacing w:before="0" w:after="0"/>
    </w:pPr>
  </w:style>
  <w:style w:type="paragraph" w:customStyle="1" w:styleId="TOFTitle">
    <w:name w:val="TOFTitle"/>
    <w:basedOn w:val="TOCTitle"/>
    <w:rsid w:val="00E84FE8"/>
  </w:style>
  <w:style w:type="paragraph" w:styleId="TableofFigures">
    <w:name w:val="table of figures"/>
    <w:basedOn w:val="Normal"/>
    <w:next w:val="Normal"/>
    <w:semiHidden/>
    <w:rsid w:val="00E84FE8"/>
    <w:pPr>
      <w:tabs>
        <w:tab w:val="right" w:leader="dot" w:pos="9072"/>
      </w:tabs>
      <w:ind w:left="970" w:hanging="403"/>
    </w:pPr>
    <w:rPr>
      <w:rFonts w:ascii="Times New Roman" w:hAnsi="Times New Roman"/>
      <w:b/>
    </w:rPr>
  </w:style>
  <w:style w:type="paragraph" w:styleId="ListNumber">
    <w:name w:val="List Number"/>
    <w:basedOn w:val="List"/>
    <w:rsid w:val="00E84FE8"/>
    <w:pPr>
      <w:numPr>
        <w:numId w:val="15"/>
      </w:numPr>
      <w:tabs>
        <w:tab w:val="clear" w:pos="340"/>
      </w:tabs>
    </w:pPr>
  </w:style>
  <w:style w:type="character" w:customStyle="1" w:styleId="WingdingSymbols">
    <w:name w:val="Wingding Symbols"/>
    <w:rsid w:val="00E84FE8"/>
    <w:rPr>
      <w:rFonts w:ascii="Wingdings" w:hAnsi="Wingdings"/>
    </w:rPr>
  </w:style>
  <w:style w:type="paragraph" w:customStyle="1" w:styleId="TableHeading">
    <w:name w:val="Table Heading"/>
    <w:basedOn w:val="HeadingBase"/>
    <w:rsid w:val="00E84FE8"/>
    <w:pPr>
      <w:keepLines/>
      <w:pBdr>
        <w:bottom w:val="single" w:sz="6" w:space="1" w:color="918585"/>
      </w:pBdr>
      <w:spacing w:before="240"/>
    </w:pPr>
  </w:style>
  <w:style w:type="character" w:customStyle="1" w:styleId="HotSpot">
    <w:name w:val="HotSpot"/>
    <w:rsid w:val="00E84FE8"/>
    <w:rPr>
      <w:color w:val="0033CC"/>
      <w:u w:val="none"/>
    </w:rPr>
  </w:style>
  <w:style w:type="paragraph" w:customStyle="1" w:styleId="BodyTextRight">
    <w:name w:val="Body Text Right"/>
    <w:basedOn w:val="BodyText"/>
    <w:rsid w:val="00E84FE8"/>
    <w:pPr>
      <w:spacing w:before="0" w:after="0"/>
      <w:jc w:val="right"/>
    </w:pPr>
  </w:style>
  <w:style w:type="paragraph" w:styleId="Index3">
    <w:name w:val="index 3"/>
    <w:basedOn w:val="ListNumber2"/>
    <w:next w:val="Normal"/>
    <w:semiHidden/>
    <w:rsid w:val="00E84FE8"/>
    <w:pPr>
      <w:numPr>
        <w:numId w:val="0"/>
      </w:numPr>
      <w:tabs>
        <w:tab w:val="right" w:leader="dot" w:pos="4176"/>
      </w:tabs>
    </w:pPr>
  </w:style>
  <w:style w:type="paragraph" w:styleId="ListNumber2">
    <w:name w:val="List Number 2"/>
    <w:basedOn w:val="List2"/>
    <w:rsid w:val="00E84FE8"/>
    <w:pPr>
      <w:numPr>
        <w:numId w:val="10"/>
      </w:numPr>
      <w:tabs>
        <w:tab w:val="clear" w:pos="1060"/>
      </w:tabs>
    </w:pPr>
  </w:style>
  <w:style w:type="paragraph" w:customStyle="1" w:styleId="MarginNote">
    <w:name w:val="Margin Note"/>
    <w:basedOn w:val="BodyText"/>
    <w:rsid w:val="00E84F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4F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4F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4FE8"/>
    <w:rPr>
      <w:sz w:val="32"/>
    </w:rPr>
  </w:style>
  <w:style w:type="paragraph" w:customStyle="1" w:styleId="HeadingProcedure">
    <w:name w:val="Heading Procedure"/>
    <w:basedOn w:val="HeadingBase"/>
    <w:next w:val="Normal"/>
    <w:rsid w:val="00E84FE8"/>
    <w:pPr>
      <w:tabs>
        <w:tab w:val="left" w:pos="0"/>
      </w:tabs>
      <w:spacing w:before="120" w:after="60"/>
    </w:pPr>
    <w:rPr>
      <w:i/>
      <w:color w:val="918585"/>
      <w:sz w:val="22"/>
    </w:rPr>
  </w:style>
  <w:style w:type="paragraph" w:customStyle="1" w:styleId="TableBodyText">
    <w:name w:val="Table Body Text"/>
    <w:basedOn w:val="BodyText"/>
    <w:rsid w:val="00E84FE8"/>
    <w:pPr>
      <w:spacing w:before="60" w:after="60"/>
    </w:pPr>
  </w:style>
  <w:style w:type="paragraph" w:styleId="ListContinue">
    <w:name w:val="List Continue"/>
    <w:basedOn w:val="List"/>
    <w:rsid w:val="00E84FE8"/>
    <w:pPr>
      <w:ind w:firstLine="0"/>
    </w:pPr>
  </w:style>
  <w:style w:type="paragraph" w:customStyle="1" w:styleId="ListNote">
    <w:name w:val="List Note"/>
    <w:basedOn w:val="List"/>
    <w:rsid w:val="00E84FE8"/>
    <w:pPr>
      <w:pBdr>
        <w:top w:val="single" w:sz="6" w:space="2" w:color="918585"/>
        <w:bottom w:val="single" w:sz="6" w:space="2" w:color="918585"/>
      </w:pBdr>
      <w:tabs>
        <w:tab w:val="left" w:pos="1021"/>
      </w:tabs>
      <w:ind w:firstLine="0"/>
    </w:pPr>
  </w:style>
  <w:style w:type="paragraph" w:customStyle="1" w:styleId="Warning">
    <w:name w:val="Warning"/>
    <w:basedOn w:val="BodyText"/>
    <w:rsid w:val="00E84FE8"/>
    <w:pPr>
      <w:shd w:val="clear" w:color="auto" w:fill="D9D9D9"/>
      <w:tabs>
        <w:tab w:val="left" w:pos="992"/>
      </w:tabs>
      <w:ind w:left="119" w:right="119"/>
    </w:pPr>
    <w:rPr>
      <w:sz w:val="20"/>
    </w:rPr>
  </w:style>
  <w:style w:type="paragraph" w:customStyle="1" w:styleId="MarginIcons">
    <w:name w:val="Margin Icons"/>
    <w:basedOn w:val="BodyText"/>
    <w:rsid w:val="00E84F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4FE8"/>
    <w:rPr>
      <w:rFonts w:ascii="Courier New" w:hAnsi="Courier New"/>
    </w:rPr>
  </w:style>
  <w:style w:type="paragraph" w:customStyle="1" w:styleId="NoteBullet">
    <w:name w:val="Note Bullet"/>
    <w:basedOn w:val="Note"/>
    <w:rsid w:val="00E84FE8"/>
    <w:pPr>
      <w:tabs>
        <w:tab w:val="clear" w:pos="680"/>
      </w:tabs>
      <w:spacing w:before="60" w:after="60"/>
    </w:pPr>
  </w:style>
  <w:style w:type="paragraph" w:customStyle="1" w:styleId="SubHeading2">
    <w:name w:val="SubHeading2"/>
    <w:basedOn w:val="HeadingBase"/>
    <w:rsid w:val="00E84FE8"/>
    <w:pPr>
      <w:spacing w:before="240" w:after="60"/>
    </w:pPr>
    <w:rPr>
      <w:sz w:val="20"/>
    </w:rPr>
  </w:style>
  <w:style w:type="paragraph" w:customStyle="1" w:styleId="SubHeading1">
    <w:name w:val="SubHeading1"/>
    <w:basedOn w:val="HeadingBase"/>
    <w:rsid w:val="00E84FE8"/>
    <w:pPr>
      <w:spacing w:before="240" w:after="60"/>
    </w:pPr>
    <w:rPr>
      <w:color w:val="918585"/>
      <w:sz w:val="22"/>
    </w:rPr>
  </w:style>
  <w:style w:type="paragraph" w:customStyle="1" w:styleId="SideHeading">
    <w:name w:val="Side Heading"/>
    <w:basedOn w:val="HeadingBase"/>
    <w:rsid w:val="00E84F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4FE8"/>
    <w:pPr>
      <w:tabs>
        <w:tab w:val="num" w:pos="360"/>
      </w:tabs>
    </w:pPr>
  </w:style>
  <w:style w:type="paragraph" w:styleId="PlainText">
    <w:name w:val="Plain Text"/>
    <w:basedOn w:val="Normal"/>
    <w:link w:val="PlainTextChar"/>
    <w:rsid w:val="00E84FE8"/>
    <w:rPr>
      <w:sz w:val="20"/>
    </w:rPr>
  </w:style>
  <w:style w:type="character" w:customStyle="1" w:styleId="PlainTextChar">
    <w:name w:val="Plain Text Char"/>
    <w:basedOn w:val="DefaultParagraphFont"/>
    <w:link w:val="PlainText"/>
    <w:rsid w:val="00E84FE8"/>
    <w:rPr>
      <w:rFonts w:ascii="Courier New" w:eastAsia="Times New Roman" w:hAnsi="Courier New" w:cs="Times New Roman"/>
      <w:sz w:val="20"/>
      <w:szCs w:val="20"/>
      <w:lang w:eastAsia="en-US"/>
    </w:rPr>
  </w:style>
  <w:style w:type="character" w:customStyle="1" w:styleId="MenuOption">
    <w:name w:val="Menu Option"/>
    <w:basedOn w:val="DefaultParagraphFont"/>
    <w:rsid w:val="00E84FE8"/>
    <w:rPr>
      <w:b/>
      <w:smallCaps/>
    </w:rPr>
  </w:style>
  <w:style w:type="paragraph" w:customStyle="1" w:styleId="TableListNumber">
    <w:name w:val="Table List Number"/>
    <w:basedOn w:val="ListNumber"/>
    <w:rsid w:val="00E84FE8"/>
    <w:pPr>
      <w:numPr>
        <w:numId w:val="0"/>
      </w:numPr>
    </w:pPr>
  </w:style>
  <w:style w:type="paragraph" w:styleId="TOC4">
    <w:name w:val="toc 4"/>
    <w:basedOn w:val="TOCBase"/>
    <w:next w:val="Normal"/>
    <w:semiHidden/>
    <w:rsid w:val="00E84FE8"/>
    <w:pPr>
      <w:tabs>
        <w:tab w:val="right" w:leader="dot" w:pos="9071"/>
      </w:tabs>
      <w:ind w:left="1701"/>
    </w:pPr>
  </w:style>
  <w:style w:type="paragraph" w:customStyle="1" w:styleId="ListAlpha">
    <w:name w:val="List Alpha"/>
    <w:basedOn w:val="List"/>
    <w:rsid w:val="00E84FE8"/>
    <w:pPr>
      <w:numPr>
        <w:numId w:val="9"/>
      </w:numPr>
    </w:pPr>
  </w:style>
  <w:style w:type="paragraph" w:customStyle="1" w:styleId="ListAlpha2">
    <w:name w:val="List Alpha 2"/>
    <w:basedOn w:val="List2"/>
    <w:rsid w:val="00E84FE8"/>
    <w:pPr>
      <w:numPr>
        <w:numId w:val="8"/>
      </w:numPr>
    </w:pPr>
  </w:style>
  <w:style w:type="paragraph" w:styleId="List2">
    <w:name w:val="List 2"/>
    <w:basedOn w:val="BodyText"/>
    <w:rsid w:val="00E84FE8"/>
    <w:pPr>
      <w:tabs>
        <w:tab w:val="left" w:pos="680"/>
      </w:tabs>
      <w:spacing w:before="60" w:after="60"/>
      <w:ind w:left="680" w:hanging="340"/>
    </w:pPr>
  </w:style>
  <w:style w:type="paragraph" w:styleId="List3">
    <w:name w:val="List 3"/>
    <w:basedOn w:val="BodyText"/>
    <w:rsid w:val="00E84FE8"/>
    <w:pPr>
      <w:tabs>
        <w:tab w:val="left" w:pos="1021"/>
      </w:tabs>
      <w:spacing w:before="60" w:after="60"/>
      <w:ind w:left="1020" w:hanging="340"/>
    </w:pPr>
  </w:style>
  <w:style w:type="paragraph" w:styleId="List4">
    <w:name w:val="List 4"/>
    <w:basedOn w:val="BodyText"/>
    <w:rsid w:val="00E84FE8"/>
    <w:pPr>
      <w:tabs>
        <w:tab w:val="left" w:pos="1361"/>
      </w:tabs>
      <w:spacing w:before="60" w:after="60"/>
      <w:ind w:left="1361" w:hanging="340"/>
    </w:pPr>
  </w:style>
  <w:style w:type="paragraph" w:styleId="List5">
    <w:name w:val="List 5"/>
    <w:basedOn w:val="BodyText"/>
    <w:rsid w:val="00E84FE8"/>
    <w:pPr>
      <w:tabs>
        <w:tab w:val="left" w:pos="1701"/>
      </w:tabs>
      <w:spacing w:before="60" w:after="60"/>
      <w:ind w:left="1701" w:hanging="340"/>
    </w:pPr>
  </w:style>
  <w:style w:type="paragraph" w:styleId="ListBullet3">
    <w:name w:val="List Bullet 3"/>
    <w:basedOn w:val="List3"/>
    <w:rsid w:val="00E84FE8"/>
    <w:pPr>
      <w:numPr>
        <w:numId w:val="14"/>
      </w:numPr>
      <w:tabs>
        <w:tab w:val="clear" w:pos="1021"/>
      </w:tabs>
      <w:ind w:left="1037" w:hanging="357"/>
    </w:pPr>
  </w:style>
  <w:style w:type="paragraph" w:styleId="ListBullet4">
    <w:name w:val="List Bullet 4"/>
    <w:basedOn w:val="List4"/>
    <w:rsid w:val="00E84FE8"/>
    <w:pPr>
      <w:numPr>
        <w:numId w:val="3"/>
      </w:numPr>
      <w:tabs>
        <w:tab w:val="clear" w:pos="1361"/>
      </w:tabs>
    </w:pPr>
  </w:style>
  <w:style w:type="paragraph" w:styleId="ListBullet5">
    <w:name w:val="List Bullet 5"/>
    <w:basedOn w:val="List5"/>
    <w:rsid w:val="00E84FE8"/>
    <w:pPr>
      <w:numPr>
        <w:numId w:val="4"/>
      </w:numPr>
    </w:pPr>
  </w:style>
  <w:style w:type="paragraph" w:styleId="ListContinue2">
    <w:name w:val="List Continue 2"/>
    <w:basedOn w:val="List2"/>
    <w:rsid w:val="00E84FE8"/>
    <w:pPr>
      <w:ind w:firstLine="0"/>
    </w:pPr>
  </w:style>
  <w:style w:type="paragraph" w:styleId="ListContinue3">
    <w:name w:val="List Continue 3"/>
    <w:basedOn w:val="List3"/>
    <w:rsid w:val="00E84FE8"/>
    <w:pPr>
      <w:ind w:left="1021" w:firstLine="0"/>
    </w:pPr>
  </w:style>
  <w:style w:type="paragraph" w:styleId="ListContinue4">
    <w:name w:val="List Continue 4"/>
    <w:basedOn w:val="List4"/>
    <w:rsid w:val="00E84FE8"/>
    <w:pPr>
      <w:ind w:firstLine="0"/>
    </w:pPr>
  </w:style>
  <w:style w:type="paragraph" w:styleId="ListContinue5">
    <w:name w:val="List Continue 5"/>
    <w:basedOn w:val="List5"/>
    <w:rsid w:val="00E84FE8"/>
    <w:pPr>
      <w:ind w:firstLine="0"/>
    </w:pPr>
  </w:style>
  <w:style w:type="paragraph" w:styleId="ListNumber3">
    <w:name w:val="List Number 3"/>
    <w:basedOn w:val="List3"/>
    <w:rsid w:val="00E84FE8"/>
    <w:pPr>
      <w:numPr>
        <w:numId w:val="5"/>
      </w:numPr>
    </w:pPr>
  </w:style>
  <w:style w:type="paragraph" w:styleId="ListNumber4">
    <w:name w:val="List Number 4"/>
    <w:basedOn w:val="List4"/>
    <w:rsid w:val="00E84FE8"/>
    <w:pPr>
      <w:numPr>
        <w:numId w:val="6"/>
      </w:numPr>
    </w:pPr>
  </w:style>
  <w:style w:type="paragraph" w:styleId="ListNumber5">
    <w:name w:val="List Number 5"/>
    <w:basedOn w:val="List5"/>
    <w:rsid w:val="00E84FE8"/>
    <w:pPr>
      <w:numPr>
        <w:numId w:val="7"/>
      </w:numPr>
    </w:pPr>
  </w:style>
  <w:style w:type="paragraph" w:styleId="BlockText">
    <w:name w:val="Block Text"/>
    <w:basedOn w:val="Normal"/>
    <w:rsid w:val="00E84FE8"/>
    <w:pPr>
      <w:spacing w:after="120"/>
      <w:ind w:left="1440" w:right="1440"/>
    </w:pPr>
  </w:style>
  <w:style w:type="character" w:customStyle="1" w:styleId="Subscript">
    <w:name w:val="Subscript"/>
    <w:basedOn w:val="DefaultParagraphFont"/>
    <w:rsid w:val="00E84FE8"/>
    <w:rPr>
      <w:sz w:val="16"/>
      <w:vertAlign w:val="subscript"/>
    </w:rPr>
  </w:style>
  <w:style w:type="character" w:customStyle="1" w:styleId="Superscript">
    <w:name w:val="Superscript"/>
    <w:basedOn w:val="DefaultParagraphFont"/>
    <w:rsid w:val="00E84FE8"/>
    <w:rPr>
      <w:sz w:val="16"/>
      <w:vertAlign w:val="superscript"/>
    </w:rPr>
  </w:style>
  <w:style w:type="character" w:customStyle="1" w:styleId="Symbols">
    <w:name w:val="Symbols"/>
    <w:basedOn w:val="DefaultParagraphFont"/>
    <w:rsid w:val="00E84FE8"/>
    <w:rPr>
      <w:rFonts w:ascii="Symbol" w:hAnsi="Symbol"/>
    </w:rPr>
  </w:style>
  <w:style w:type="character" w:customStyle="1" w:styleId="MenuOptions">
    <w:name w:val="Menu Options"/>
    <w:basedOn w:val="DefaultParagraphFont"/>
    <w:rsid w:val="00E84FE8"/>
    <w:rPr>
      <w:rFonts w:ascii="Arial Narrow" w:hAnsi="Arial Narrow"/>
      <w:smallCaps/>
    </w:rPr>
  </w:style>
  <w:style w:type="character" w:customStyle="1" w:styleId="Buttons">
    <w:name w:val="Buttons"/>
    <w:basedOn w:val="DefaultParagraphFont"/>
    <w:rsid w:val="00E84FE8"/>
    <w:rPr>
      <w:b/>
    </w:rPr>
  </w:style>
  <w:style w:type="character" w:customStyle="1" w:styleId="Underlined">
    <w:name w:val="Underlined"/>
    <w:basedOn w:val="DefaultParagraphFont"/>
    <w:rsid w:val="00E84FE8"/>
    <w:rPr>
      <w:u w:val="single"/>
    </w:rPr>
  </w:style>
  <w:style w:type="paragraph" w:customStyle="1" w:styleId="TableBodyTextRight">
    <w:name w:val="Table Body Text Right"/>
    <w:basedOn w:val="TableBodyText"/>
    <w:rsid w:val="00E84FE8"/>
    <w:pPr>
      <w:widowControl w:val="0"/>
      <w:autoSpaceDE w:val="0"/>
      <w:autoSpaceDN w:val="0"/>
      <w:adjustRightInd w:val="0"/>
      <w:jc w:val="right"/>
    </w:pPr>
    <w:rPr>
      <w:rFonts w:cs="Arial"/>
      <w:szCs w:val="18"/>
    </w:rPr>
  </w:style>
  <w:style w:type="paragraph" w:customStyle="1" w:styleId="CopyrightText">
    <w:name w:val="Copyright Text"/>
    <w:basedOn w:val="BodyText"/>
    <w:rsid w:val="00E84FE8"/>
    <w:rPr>
      <w:sz w:val="18"/>
    </w:rPr>
  </w:style>
  <w:style w:type="paragraph" w:customStyle="1" w:styleId="BodySmallRight">
    <w:name w:val="Body Small Right"/>
    <w:basedOn w:val="BodyTextRight"/>
    <w:rsid w:val="00E84FE8"/>
    <w:rPr>
      <w:sz w:val="18"/>
      <w:szCs w:val="18"/>
    </w:rPr>
  </w:style>
  <w:style w:type="paragraph" w:customStyle="1" w:styleId="MarginEdition">
    <w:name w:val="Margin Edition"/>
    <w:basedOn w:val="MarginNote"/>
    <w:rsid w:val="00E84FE8"/>
    <w:pPr>
      <w:spacing w:before="0" w:after="0"/>
    </w:pPr>
    <w:rPr>
      <w:rFonts w:ascii="Times New Roman" w:hAnsi="Times New Roman"/>
      <w:color w:val="999999"/>
    </w:rPr>
  </w:style>
  <w:style w:type="paragraph" w:customStyle="1" w:styleId="Spacer">
    <w:name w:val="Spacer"/>
    <w:basedOn w:val="Normal"/>
    <w:rsid w:val="00E84FE8"/>
    <w:rPr>
      <w:sz w:val="2"/>
      <w:szCs w:val="2"/>
    </w:rPr>
  </w:style>
  <w:style w:type="character" w:customStyle="1" w:styleId="Small">
    <w:name w:val="Small"/>
    <w:basedOn w:val="DefaultParagraphFont"/>
    <w:rsid w:val="00E84FE8"/>
    <w:rPr>
      <w:sz w:val="16"/>
    </w:rPr>
  </w:style>
  <w:style w:type="paragraph" w:customStyle="1" w:styleId="WideTable">
    <w:name w:val="Wide Table"/>
    <w:basedOn w:val="Normal"/>
    <w:rsid w:val="00E84FE8"/>
    <w:pPr>
      <w:ind w:left="-1418"/>
    </w:pPr>
    <w:rPr>
      <w:sz w:val="2"/>
      <w:szCs w:val="2"/>
    </w:rPr>
  </w:style>
  <w:style w:type="character" w:styleId="PageNumber">
    <w:name w:val="page number"/>
    <w:basedOn w:val="DefaultParagraphFont"/>
    <w:rsid w:val="00E84FE8"/>
  </w:style>
  <w:style w:type="paragraph" w:styleId="Quote">
    <w:name w:val="Quote"/>
    <w:basedOn w:val="Heading1"/>
    <w:link w:val="QuoteChar"/>
    <w:qFormat/>
    <w:rsid w:val="00E84FE8"/>
    <w:rPr>
      <w:b w:val="0"/>
      <w:sz w:val="72"/>
      <w:szCs w:val="72"/>
      <w:lang w:val="en-NZ"/>
    </w:rPr>
  </w:style>
  <w:style w:type="character" w:customStyle="1" w:styleId="QuoteChar">
    <w:name w:val="Quote Char"/>
    <w:basedOn w:val="DefaultParagraphFont"/>
    <w:link w:val="Quote"/>
    <w:rsid w:val="00E84F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4FE8"/>
    <w:pPr>
      <w:pageBreakBefore/>
    </w:pPr>
  </w:style>
  <w:style w:type="paragraph" w:customStyle="1" w:styleId="Border">
    <w:name w:val="Border"/>
    <w:basedOn w:val="Normal"/>
    <w:qFormat/>
    <w:rsid w:val="00E84F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4FE8"/>
    <w:rPr>
      <w:b/>
      <w:bCs/>
      <w:i/>
      <w:iCs/>
      <w:color w:val="auto"/>
    </w:rPr>
  </w:style>
  <w:style w:type="paragraph" w:styleId="IntenseQuote">
    <w:name w:val="Intense Quote"/>
    <w:basedOn w:val="Normal"/>
    <w:next w:val="Normal"/>
    <w:link w:val="IntenseQuoteChar"/>
    <w:uiPriority w:val="30"/>
    <w:qFormat/>
    <w:rsid w:val="00E84F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4F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4FE8"/>
    <w:rPr>
      <w:smallCaps/>
      <w:color w:val="auto"/>
      <w:u w:val="single"/>
    </w:rPr>
  </w:style>
  <w:style w:type="character" w:styleId="IntenseReference">
    <w:name w:val="Intense Reference"/>
    <w:basedOn w:val="DefaultParagraphFont"/>
    <w:uiPriority w:val="32"/>
    <w:qFormat/>
    <w:rsid w:val="00E84FE8"/>
    <w:rPr>
      <w:b/>
      <w:bCs/>
      <w:smallCaps/>
      <w:color w:val="auto"/>
      <w:spacing w:val="5"/>
      <w:u w:val="single"/>
    </w:rPr>
  </w:style>
  <w:style w:type="paragraph" w:customStyle="1" w:styleId="2ColumnHeading">
    <w:name w:val="2Column Heading"/>
    <w:basedOn w:val="BodyText"/>
    <w:qFormat/>
    <w:rsid w:val="00E84FE8"/>
    <w:pPr>
      <w:spacing w:after="60"/>
      <w:ind w:left="-2268"/>
    </w:pPr>
    <w:rPr>
      <w:b/>
    </w:rPr>
  </w:style>
  <w:style w:type="paragraph" w:customStyle="1" w:styleId="Heading1TOC">
    <w:name w:val="Heading1 TOC"/>
    <w:basedOn w:val="Normal"/>
    <w:qFormat/>
    <w:rsid w:val="00E84FE8"/>
    <w:pPr>
      <w:spacing w:before="240" w:after="120"/>
    </w:pPr>
    <w:rPr>
      <w:rFonts w:ascii="Times New Roman" w:hAnsi="Times New Roman"/>
      <w:b/>
      <w:sz w:val="32"/>
    </w:rPr>
  </w:style>
  <w:style w:type="paragraph" w:customStyle="1" w:styleId="Heading2TOC">
    <w:name w:val="Heading2 TOC"/>
    <w:basedOn w:val="Normal"/>
    <w:qFormat/>
    <w:rsid w:val="00E84FE8"/>
    <w:pPr>
      <w:spacing w:before="240" w:after="60"/>
    </w:pPr>
    <w:rPr>
      <w:rFonts w:ascii="Times New Roman" w:hAnsi="Times New Roman"/>
      <w:b/>
      <w:sz w:val="28"/>
    </w:rPr>
  </w:style>
  <w:style w:type="character" w:customStyle="1" w:styleId="Underline">
    <w:name w:val="Underline"/>
    <w:basedOn w:val="DefaultParagraphFont"/>
    <w:qFormat/>
    <w:rsid w:val="00E84FE8"/>
    <w:rPr>
      <w:u w:val="single"/>
    </w:rPr>
  </w:style>
  <w:style w:type="character" w:customStyle="1" w:styleId="BoldandItalics">
    <w:name w:val="Bold and Italics"/>
    <w:qFormat/>
    <w:rsid w:val="00E84FE8"/>
    <w:rPr>
      <w:b/>
      <w:i/>
      <w:u w:val="none"/>
    </w:rPr>
  </w:style>
  <w:style w:type="paragraph" w:styleId="BalloonText">
    <w:name w:val="Balloon Text"/>
    <w:basedOn w:val="Normal"/>
    <w:link w:val="BalloonTextChar"/>
    <w:rsid w:val="00E84FE8"/>
    <w:rPr>
      <w:rFonts w:ascii="Tahoma" w:hAnsi="Tahoma" w:cs="Tahoma"/>
      <w:sz w:val="16"/>
      <w:szCs w:val="16"/>
    </w:rPr>
  </w:style>
  <w:style w:type="character" w:customStyle="1" w:styleId="BalloonTextChar">
    <w:name w:val="Balloon Text Char"/>
    <w:basedOn w:val="DefaultParagraphFont"/>
    <w:link w:val="BalloonText"/>
    <w:rsid w:val="00E84F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4F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4F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4FE8"/>
    <w:rPr>
      <w:b/>
      <w:color w:val="660033"/>
      <w:spacing w:val="0"/>
    </w:rPr>
  </w:style>
  <w:style w:type="paragraph" w:customStyle="1" w:styleId="Nameditemlist">
    <w:name w:val="Named item list"/>
    <w:basedOn w:val="BodyText"/>
    <w:qFormat/>
    <w:rsid w:val="00E84FE8"/>
    <w:pPr>
      <w:tabs>
        <w:tab w:val="left" w:pos="2835"/>
      </w:tabs>
      <w:ind w:left="2835" w:hanging="2835"/>
    </w:pPr>
  </w:style>
  <w:style w:type="paragraph" w:customStyle="1" w:styleId="BodyTextnopadding">
    <w:name w:val="Body Text no padding"/>
    <w:basedOn w:val="BodyText"/>
    <w:qFormat/>
    <w:rsid w:val="00E84FE8"/>
    <w:pPr>
      <w:spacing w:before="0" w:after="0"/>
    </w:pPr>
  </w:style>
  <w:style w:type="paragraph" w:customStyle="1" w:styleId="BodyTextBold">
    <w:name w:val="Body Text Bold"/>
    <w:basedOn w:val="BodyText"/>
    <w:qFormat/>
    <w:rsid w:val="00E84FE8"/>
    <w:rPr>
      <w:b/>
    </w:rPr>
  </w:style>
  <w:style w:type="character" w:styleId="Hyperlink">
    <w:name w:val="Hyperlink"/>
    <w:basedOn w:val="DefaultParagraphFont"/>
    <w:uiPriority w:val="99"/>
    <w:unhideWhenUsed/>
    <w:rsid w:val="00F249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1273</Words>
  <Characters>8638</Characters>
  <Application>Microsoft Office Word</Application>
  <DocSecurity>0</DocSecurity>
  <Lines>319</Lines>
  <Paragraphs>215</Paragraphs>
  <ScaleCrop>false</ScaleCrop>
  <Company>Author-it Software Corporation Ltd.</Company>
  <LinksUpToDate>false</LinksUpToDate>
  <CharactersWithSpaces>9696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UETDRSB016 Maintain synchronous condensers</dc:title>
  <dc:subject>Approved</dc:subject>
  <dc:creator>Powering Skills Organisation</dc:creator>
  <cp:keywords>Release: 1</cp:keywords>
  <dc:description>Review Date: 12 April 2008</dc:description>
  <cp:lastModifiedBy>HSD_TPCMSd.prod</cp:lastModifiedBy>
  <cp:revision>3</cp:revision>
  <dcterms:created xsi:type="dcterms:W3CDTF">2025-03-02T00:12:00Z</dcterms:created>
  <dcterms:modified xsi:type="dcterms:W3CDTF">2025-03-02T00:12:00Z</dcterms:modified>
</cp:coreProperties>
</file>