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1D6" w:rsidP="00113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UETDRSB015 Maintain static var compensators (SVC)</w:t>
      </w:r>
      <w:r>
        <w:fldChar w:fldCharType="end"/>
      </w:r>
    </w:p>
    <w:p w:rsidR="001131D6" w:rsidP="001131D6">
      <w:pPr>
        <w:pStyle w:val="Version"/>
        <w:sectPr w:rsidSect="00B70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CE9" w:rsidP="00B70CE9">
      <w:pPr>
        <w:pStyle w:val="SuperHeading"/>
      </w:pPr>
      <w:r w:rsidRPr="00B70CE9">
        <w:t>UETDRSB015 Maintain static var compensators (SVC)</w:t>
      </w:r>
    </w:p>
    <w:p w:rsidR="00000000" w:rsidRPr="00B70CE9" w:rsidP="00B70CE9">
      <w:pPr>
        <w:pStyle w:val="Heading1"/>
      </w:pPr>
      <w:bookmarkStart w:id="1" w:name="O_1237427"/>
      <w:bookmarkEnd w:id="1"/>
      <w:r w:rsidRPr="00B70C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2" w:name="O_1237428"/>
      <w:bookmarkEnd w:id="2"/>
      <w:r w:rsidRPr="00B70C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This unit includes the skills and knowledge r</w:t>
            </w:r>
            <w:r w:rsidRPr="00B70CE9">
              <w:t>equired to maintain high voltage static var compensators (SVC) in the electricity supply industry (ESI).</w:t>
            </w:r>
          </w:p>
          <w:p w:rsidR="00000000" w:rsidRPr="00B70CE9" w:rsidP="00B70CE9">
            <w:pPr>
              <w:pStyle w:val="BodyText"/>
            </w:pPr>
            <w:r w:rsidRPr="00B70CE9">
              <w:t>It includes reactive power flow, transformers, and main SVC reactive components.</w:t>
            </w:r>
          </w:p>
          <w:p w:rsidR="00000000" w:rsidRPr="00B70CE9" w:rsidP="00B70CE9">
            <w:pPr>
              <w:pStyle w:val="BodyText"/>
            </w:pPr>
            <w:r w:rsidRPr="00B70CE9">
              <w:t>It also includes control systems, thyristor valves, cooling equipment,</w:t>
            </w:r>
            <w:r w:rsidRPr="00B70CE9">
              <w:t xml:space="preserve"> protection systems, and use of appropriate tools and equipment.</w:t>
            </w:r>
          </w:p>
          <w:p w:rsidR="00000000" w:rsidRPr="00B70CE9" w:rsidP="00B70CE9">
            <w:pPr>
              <w:pStyle w:val="BodyText"/>
            </w:pPr>
            <w:r w:rsidRPr="00B70CE9">
              <w:rPr>
                <w:rStyle w:val="Emphasis"/>
              </w:rPr>
              <w:t>Note: Entry into this unit is for users who:</w:t>
            </w:r>
          </w:p>
          <w:p w:rsidR="00000000" w:rsidRPr="00B70CE9" w:rsidP="00B70CE9">
            <w:pPr>
              <w:pStyle w:val="ListBullet"/>
            </w:pPr>
            <w:r w:rsidRPr="00B70CE9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B70CE9" w:rsidP="00B70CE9">
            <w:pPr>
              <w:pStyle w:val="BodyText"/>
            </w:pPr>
            <w:r w:rsidRPr="00B70CE9">
              <w:rPr>
                <w:rStyle w:val="Emphasis"/>
              </w:rPr>
              <w:t>and</w:t>
            </w:r>
          </w:p>
          <w:p w:rsidR="00000000" w:rsidRPr="00B70CE9" w:rsidP="00B70CE9">
            <w:pPr>
              <w:pStyle w:val="ListBullet"/>
            </w:pPr>
            <w:r w:rsidRPr="00B70CE9">
              <w:rPr>
                <w:rStyle w:val="Emphasis"/>
              </w:rPr>
              <w:t>hold an Electrician licence or the equivale</w:t>
            </w:r>
            <w:r w:rsidRPr="00B70CE9">
              <w:rPr>
                <w:rStyle w:val="Emphasis"/>
              </w:rPr>
              <w:t>nt issued in an Australian state or territory,</w:t>
            </w:r>
          </w:p>
          <w:p w:rsidR="00000000" w:rsidRPr="00B70CE9" w:rsidP="00B70CE9">
            <w:pPr>
              <w:pStyle w:val="BodyText"/>
            </w:pPr>
            <w:r w:rsidRPr="00B70CE9">
              <w:rPr>
                <w:rStyle w:val="Emphasis"/>
              </w:rPr>
              <w:t xml:space="preserve">or </w:t>
            </w:r>
          </w:p>
          <w:p w:rsidR="00000000" w:rsidRPr="00B70CE9" w:rsidP="00B70CE9">
            <w:pPr>
              <w:pStyle w:val="ListBullet"/>
            </w:pPr>
            <w:r w:rsidRPr="00B70CE9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B70CE9" w:rsidP="00B70CE9">
            <w:pPr>
              <w:pStyle w:val="BodyText"/>
            </w:pPr>
            <w:r w:rsidRPr="00B70CE9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B70CE9" w:rsidP="00B70CE9">
            <w:pPr>
              <w:pStyle w:val="BodyText"/>
            </w:pPr>
            <w:r w:rsidRPr="00B70CE9">
              <w:t xml:space="preserve">The application of the skills and knowledge described in this </w:t>
            </w:r>
            <w:r w:rsidRPr="00B70CE9">
              <w:t>unit may require a licence/registration to practice in the workplace.</w:t>
            </w:r>
          </w:p>
          <w:p w:rsidR="00000000" w:rsidRPr="00B70CE9" w:rsidP="00B70CE9">
            <w:pPr>
              <w:pStyle w:val="BodyText"/>
            </w:pPr>
            <w:r w:rsidRPr="00B70CE9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3" w:name="O_1237429"/>
      <w:bookmarkEnd w:id="3"/>
      <w:r w:rsidRPr="00B70CE9">
        <w:t>Pr</w:t>
      </w:r>
      <w:r w:rsidRPr="00B70CE9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Refer to Application.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4" w:name="O_1237430"/>
      <w:bookmarkEnd w:id="4"/>
      <w:r w:rsidRPr="00B70C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Substation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5" w:name="O_1237431"/>
      <w:bookmarkEnd w:id="5"/>
      <w:r w:rsidRPr="00B70C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Not applicable.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6" w:name="O_1237432"/>
      <w:bookmarkEnd w:id="6"/>
      <w:r w:rsidRPr="00B70CE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6"/>
        <w:gridCol w:w="816"/>
        <w:gridCol w:w="5462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>ELEMENTS</w:t>
            </w:r>
          </w:p>
        </w:tc>
        <w:tc>
          <w:tcPr>
            <w:tcW w:w="62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PERFORMANCE CRITERIA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Elements describe the essential outcomes.</w:t>
            </w:r>
          </w:p>
        </w:tc>
        <w:tc>
          <w:tcPr>
            <w:tcW w:w="62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Performance criteria describe the performance needed to demonstrate achievement of the element.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 xml:space="preserve">1 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>Prepare to maintain SVC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1.1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Legislation, regulations, standards, codes of practice and organisational workplace requirements for the work to be performed are reviewed and determined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1.2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Work plan is obtained, confirmed and communicated with relevant personnel in accordance with wo</w:t>
            </w:r>
            <w:r w:rsidRPr="00B70CE9">
              <w:t>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1.3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Hazards are identified, risks assessed, and control measures identified and applied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1.4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Work is prioritised and sequenced for completion in accordance with work plan and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1.5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Plant, tools, equipment and personal protective equipment (PPE) required for work are determined, obtained and confirmed in working order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1.6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 xml:space="preserve">Liaison and communication issues with authorised personnel, authorities and clients are resolved to facilitate </w:t>
            </w:r>
            <w:r w:rsidRPr="00B70CE9">
              <w:t>work, as required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1.7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Worksite is prepared in accordance with the work plan and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>2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>Maintain SVC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2.1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Legislation, regulations, standards, codes of practice and organisational workplace requirements for the work to be performed are applied and monitored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2.2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Work permits are received and signed in 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2.3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Lifting, wo</w:t>
            </w:r>
            <w:r w:rsidRPr="00B70CE9">
              <w:t>rking at heights, working in confined spaces and the use of plant, tools, equipment and PPE are carried out in 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2.4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SVCs are maintained in 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2.5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Incidents or unplanned events are responded to in 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>3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3.1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Completed work is checked for compliance against the work plan and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3.2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 xml:space="preserve">Work permits are signed off in </w:t>
            </w:r>
            <w:r w:rsidRPr="00B70CE9">
              <w:t>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3.3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Worksite is rehabilitated, cleaned and made safe in 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3.4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t>Plant, tools and eq</w:t>
            </w:r>
            <w:r w:rsidRPr="00B70CE9">
              <w:t>uipment are cleaned, checked and returned to storage, and surplus resources and materials are managed in accordance with workplace requirements</w:t>
            </w:r>
          </w:p>
        </w:tc>
      </w:tr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E9">
            <w:pPr>
              <w:pStyle w:val="BodyText"/>
              <w:rPr>
                <w:lang w:val="en-NZ"/>
              </w:rPr>
            </w:pPr>
            <w:r w:rsidRPr="00B70CE9">
              <w:rPr>
                <w:rStyle w:val="SpecialBold"/>
              </w:rPr>
              <w:t>3.5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Work records, reports and documentation are completed, and where relevant, appropriate personnel notified</w:t>
            </w:r>
            <w:r w:rsidRPr="00B70CE9">
              <w:t xml:space="preserve"> in accordance with workplace requirements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7" w:name="O_1237433"/>
      <w:bookmarkEnd w:id="7"/>
      <w:r w:rsidRPr="00B70C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Foundation skills essential to performance are explicit in the performance criteria of this unit of competency.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8" w:name="O_1237434"/>
      <w:bookmarkEnd w:id="8"/>
      <w:r w:rsidRPr="00B70C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Range is restricted t</w:t>
            </w:r>
            <w:r w:rsidRPr="00B70CE9">
              <w:t>o essential operating conditions and any other variables essential to the work environment.</w:t>
            </w:r>
          </w:p>
          <w:p w:rsidR="00000000" w:rsidRPr="00B70CE9" w:rsidP="00B70CE9">
            <w:pPr>
              <w:pStyle w:val="BodyText"/>
            </w:pPr>
            <w:r w:rsidRPr="00B70CE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9" w:name="O_1237435"/>
      <w:bookmarkEnd w:id="9"/>
      <w:r w:rsidRPr="00B70C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E9" w:rsidP="00B70CE9">
            <w:pPr>
              <w:pStyle w:val="BodyText"/>
            </w:pPr>
            <w:r w:rsidRPr="00B70CE9">
              <w:t>This unit replaces and is not equivalent to UETTDRSB30 Maintain high voltage power system static VAR compensators (SVC).</w:t>
            </w:r>
          </w:p>
        </w:tc>
      </w:tr>
    </w:tbl>
    <w:p w:rsidR="00000000" w:rsidRPr="00B70CE9" w:rsidP="00B70CE9">
      <w:pPr>
        <w:pStyle w:val="NoPaddingFontSize1"/>
      </w:pPr>
    </w:p>
    <w:p w:rsidR="00000000" w:rsidRPr="00B70CE9" w:rsidP="00B70CE9">
      <w:pPr>
        <w:pStyle w:val="AllowPageBreak"/>
      </w:pPr>
    </w:p>
    <w:p w:rsidR="00000000" w:rsidRPr="00B70CE9" w:rsidP="00B70CE9">
      <w:pPr>
        <w:pStyle w:val="Heading1"/>
      </w:pPr>
      <w:bookmarkStart w:id="10" w:name="O_1237442"/>
      <w:bookmarkEnd w:id="10"/>
      <w:r w:rsidRPr="00B70CE9">
        <w:t>Links</w:t>
      </w:r>
    </w:p>
    <w:p w:rsidR="00000000" w:rsidRPr="00B70CE9" w:rsidP="001131D6">
      <w:pPr>
        <w:pStyle w:val="BodyText"/>
      </w:pPr>
      <w:r w:rsidRPr="00B70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A2D9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70CE9" w:rsidP="00B70CE9"/>
    <w:sectPr w:rsidSect="00B70C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E9" w:rsidRPr="001131D6" w:rsidP="00113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D6" w:rsidP="00B70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1D6" w:rsidP="00B70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31D6" w:rsidP="00B70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CE9" w:rsidRPr="001131D6" w:rsidP="00113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D6" w:rsidRPr="002D2AF8" w:rsidP="00B70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UETDRSB015 Maintain static var compensators (SVC)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131D6" w:rsidP="00B70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76A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FCA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CE9"/>
  </w:style>
  <w:style w:type="character" w:customStyle="1" w:styleId="Heading1Char">
    <w:name w:val="Heading 1 Char"/>
    <w:basedOn w:val="DefaultParagraphFont"/>
    <w:link w:val="Heading1"/>
    <w:rsid w:val="00B70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C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CE9"/>
    <w:rPr>
      <w:b/>
      <w:spacing w:val="0"/>
    </w:rPr>
  </w:style>
  <w:style w:type="character" w:styleId="Emphasis">
    <w:name w:val="Emphasis"/>
    <w:basedOn w:val="DefaultParagraphFont"/>
    <w:qFormat/>
    <w:rsid w:val="00B70CE9"/>
    <w:rPr>
      <w:i/>
    </w:rPr>
  </w:style>
  <w:style w:type="paragraph" w:customStyle="1" w:styleId="SuperHeading">
    <w:name w:val="SuperHeading"/>
    <w:basedOn w:val="Normal"/>
    <w:rsid w:val="00B70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0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C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C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CE9"/>
  </w:style>
  <w:style w:type="paragraph" w:styleId="TableofFigures">
    <w:name w:val="table of figures"/>
    <w:basedOn w:val="Normal"/>
    <w:next w:val="Normal"/>
    <w:semiHidden/>
    <w:rsid w:val="00B70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C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CE9"/>
    <w:rPr>
      <w:rFonts w:ascii="Wingdings" w:hAnsi="Wingdings"/>
    </w:rPr>
  </w:style>
  <w:style w:type="paragraph" w:customStyle="1" w:styleId="TableHeading">
    <w:name w:val="Table Heading"/>
    <w:basedOn w:val="HeadingBase"/>
    <w:rsid w:val="00B70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CE9"/>
    <w:rPr>
      <w:color w:val="0033CC"/>
      <w:u w:val="none"/>
    </w:rPr>
  </w:style>
  <w:style w:type="paragraph" w:customStyle="1" w:styleId="BodyTextRight">
    <w:name w:val="Body Text Right"/>
    <w:basedOn w:val="BodyText"/>
    <w:rsid w:val="00B70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C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CE9"/>
    <w:rPr>
      <w:sz w:val="32"/>
    </w:rPr>
  </w:style>
  <w:style w:type="paragraph" w:customStyle="1" w:styleId="HeadingProcedure">
    <w:name w:val="Heading Procedure"/>
    <w:basedOn w:val="HeadingBase"/>
    <w:next w:val="Normal"/>
    <w:rsid w:val="00B70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CE9"/>
    <w:pPr>
      <w:spacing w:before="60" w:after="60"/>
    </w:pPr>
  </w:style>
  <w:style w:type="paragraph" w:styleId="ListContinue">
    <w:name w:val="List Continue"/>
    <w:basedOn w:val="List"/>
    <w:rsid w:val="00B70CE9"/>
    <w:pPr>
      <w:ind w:firstLine="0"/>
    </w:pPr>
  </w:style>
  <w:style w:type="paragraph" w:customStyle="1" w:styleId="ListNote">
    <w:name w:val="List Note"/>
    <w:basedOn w:val="List"/>
    <w:rsid w:val="00B70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CE9"/>
    <w:rPr>
      <w:rFonts w:ascii="Courier New" w:hAnsi="Courier New"/>
    </w:rPr>
  </w:style>
  <w:style w:type="paragraph" w:customStyle="1" w:styleId="NoteBullet">
    <w:name w:val="Note Bullet"/>
    <w:basedOn w:val="Note"/>
    <w:rsid w:val="00B70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C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CE9"/>
    <w:rPr>
      <w:b/>
      <w:smallCaps/>
    </w:rPr>
  </w:style>
  <w:style w:type="paragraph" w:customStyle="1" w:styleId="TableListNumber">
    <w:name w:val="Table List Number"/>
    <w:basedOn w:val="ListNumber"/>
    <w:rsid w:val="00B70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CE9"/>
    <w:pPr>
      <w:numPr>
        <w:numId w:val="8"/>
      </w:numPr>
    </w:pPr>
  </w:style>
  <w:style w:type="paragraph" w:customStyle="1" w:styleId="ListAlpha2">
    <w:name w:val="List Alpha 2"/>
    <w:basedOn w:val="List2"/>
    <w:rsid w:val="00B70CE9"/>
    <w:pPr>
      <w:numPr>
        <w:numId w:val="7"/>
      </w:numPr>
    </w:pPr>
  </w:style>
  <w:style w:type="paragraph" w:styleId="List2">
    <w:name w:val="List 2"/>
    <w:basedOn w:val="BodyText"/>
    <w:rsid w:val="00B70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C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C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CE9"/>
    <w:pPr>
      <w:numPr>
        <w:numId w:val="3"/>
      </w:numPr>
    </w:pPr>
  </w:style>
  <w:style w:type="paragraph" w:styleId="ListContinue2">
    <w:name w:val="List Continue 2"/>
    <w:basedOn w:val="List2"/>
    <w:rsid w:val="00B70CE9"/>
    <w:pPr>
      <w:ind w:firstLine="0"/>
    </w:pPr>
  </w:style>
  <w:style w:type="paragraph" w:styleId="ListContinue3">
    <w:name w:val="List Continue 3"/>
    <w:basedOn w:val="List3"/>
    <w:rsid w:val="00B70CE9"/>
    <w:pPr>
      <w:ind w:left="1021" w:firstLine="0"/>
    </w:pPr>
  </w:style>
  <w:style w:type="paragraph" w:styleId="ListContinue4">
    <w:name w:val="List Continue 4"/>
    <w:basedOn w:val="List4"/>
    <w:rsid w:val="00B70CE9"/>
    <w:pPr>
      <w:ind w:firstLine="0"/>
    </w:pPr>
  </w:style>
  <w:style w:type="paragraph" w:styleId="ListContinue5">
    <w:name w:val="List Continue 5"/>
    <w:basedOn w:val="List5"/>
    <w:rsid w:val="00B70CE9"/>
    <w:pPr>
      <w:ind w:firstLine="0"/>
    </w:pPr>
  </w:style>
  <w:style w:type="paragraph" w:styleId="ListNumber3">
    <w:name w:val="List Number 3"/>
    <w:basedOn w:val="List3"/>
    <w:rsid w:val="00B70CE9"/>
    <w:pPr>
      <w:numPr>
        <w:numId w:val="4"/>
      </w:numPr>
    </w:pPr>
  </w:style>
  <w:style w:type="paragraph" w:styleId="ListNumber4">
    <w:name w:val="List Number 4"/>
    <w:basedOn w:val="List4"/>
    <w:rsid w:val="00B70CE9"/>
    <w:pPr>
      <w:numPr>
        <w:numId w:val="5"/>
      </w:numPr>
    </w:pPr>
  </w:style>
  <w:style w:type="paragraph" w:styleId="ListNumber5">
    <w:name w:val="List Number 5"/>
    <w:basedOn w:val="List5"/>
    <w:rsid w:val="00B70CE9"/>
    <w:pPr>
      <w:numPr>
        <w:numId w:val="6"/>
      </w:numPr>
    </w:pPr>
  </w:style>
  <w:style w:type="paragraph" w:styleId="BlockText">
    <w:name w:val="Block Text"/>
    <w:basedOn w:val="Normal"/>
    <w:rsid w:val="00B70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CE9"/>
    <w:rPr>
      <w:sz w:val="16"/>
      <w:vertAlign w:val="superscript"/>
    </w:rPr>
  </w:style>
  <w:style w:type="character" w:customStyle="1" w:styleId="Symbols">
    <w:name w:val="Symbols"/>
    <w:basedOn w:val="DefaultParagraphFont"/>
    <w:rsid w:val="00B70CE9"/>
    <w:rPr>
      <w:rFonts w:ascii="Symbol" w:hAnsi="Symbol"/>
    </w:rPr>
  </w:style>
  <w:style w:type="character" w:customStyle="1" w:styleId="MenuOptions">
    <w:name w:val="Menu Options"/>
    <w:basedOn w:val="DefaultParagraphFont"/>
    <w:rsid w:val="00B70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CE9"/>
    <w:rPr>
      <w:b/>
    </w:rPr>
  </w:style>
  <w:style w:type="character" w:customStyle="1" w:styleId="Underlined">
    <w:name w:val="Underlined"/>
    <w:basedOn w:val="DefaultParagraphFont"/>
    <w:rsid w:val="00B70CE9"/>
    <w:rPr>
      <w:u w:val="single"/>
    </w:rPr>
  </w:style>
  <w:style w:type="paragraph" w:customStyle="1" w:styleId="TableBodyTextRight">
    <w:name w:val="Table Body Text Right"/>
    <w:basedOn w:val="TableBodyText"/>
    <w:rsid w:val="00B70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CE9"/>
    <w:rPr>
      <w:sz w:val="18"/>
    </w:rPr>
  </w:style>
  <w:style w:type="paragraph" w:customStyle="1" w:styleId="BodySmallRight">
    <w:name w:val="Body Small Right"/>
    <w:basedOn w:val="BodyTextRight"/>
    <w:rsid w:val="00B70CE9"/>
    <w:rPr>
      <w:sz w:val="18"/>
      <w:szCs w:val="18"/>
    </w:rPr>
  </w:style>
  <w:style w:type="paragraph" w:customStyle="1" w:styleId="MarginEdition">
    <w:name w:val="Margin Edition"/>
    <w:basedOn w:val="MarginNote"/>
    <w:rsid w:val="00B70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CE9"/>
    <w:rPr>
      <w:sz w:val="2"/>
      <w:szCs w:val="2"/>
    </w:rPr>
  </w:style>
  <w:style w:type="character" w:customStyle="1" w:styleId="Small">
    <w:name w:val="Small"/>
    <w:basedOn w:val="DefaultParagraphFont"/>
    <w:rsid w:val="00B70CE9"/>
    <w:rPr>
      <w:sz w:val="16"/>
    </w:rPr>
  </w:style>
  <w:style w:type="paragraph" w:customStyle="1" w:styleId="WideTable">
    <w:name w:val="Wide Table"/>
    <w:basedOn w:val="Normal"/>
    <w:rsid w:val="00B70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CE9"/>
  </w:style>
  <w:style w:type="paragraph" w:styleId="Quote">
    <w:name w:val="Quote"/>
    <w:basedOn w:val="Heading1"/>
    <w:link w:val="QuoteChar"/>
    <w:qFormat/>
    <w:rsid w:val="00B70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CE9"/>
    <w:pPr>
      <w:pageBreakBefore/>
    </w:pPr>
  </w:style>
  <w:style w:type="paragraph" w:customStyle="1" w:styleId="Border">
    <w:name w:val="Border"/>
    <w:basedOn w:val="Normal"/>
    <w:qFormat/>
    <w:rsid w:val="00B70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CE9"/>
    <w:rPr>
      <w:u w:val="single"/>
    </w:rPr>
  </w:style>
  <w:style w:type="character" w:customStyle="1" w:styleId="BoldandItalics">
    <w:name w:val="Bold and Italics"/>
    <w:qFormat/>
    <w:rsid w:val="00B70CE9"/>
    <w:rPr>
      <w:b/>
      <w:i/>
      <w:u w:val="none"/>
    </w:rPr>
  </w:style>
  <w:style w:type="paragraph" w:styleId="BalloonText">
    <w:name w:val="Balloon Text"/>
    <w:basedOn w:val="Normal"/>
    <w:link w:val="BalloonTextChar"/>
    <w:rsid w:val="00B70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CE9"/>
    <w:pPr>
      <w:spacing w:before="0" w:after="0"/>
    </w:pPr>
  </w:style>
  <w:style w:type="paragraph" w:customStyle="1" w:styleId="BodyTextBold">
    <w:name w:val="Body Text Bold"/>
    <w:basedOn w:val="BodyText"/>
    <w:qFormat/>
    <w:rsid w:val="00B70CE9"/>
    <w:rPr>
      <w:b/>
    </w:rPr>
  </w:style>
  <w:style w:type="character" w:styleId="Hyperlink">
    <w:name w:val="Hyperlink"/>
    <w:basedOn w:val="DefaultParagraphFont"/>
    <w:uiPriority w:val="99"/>
    <w:unhideWhenUsed/>
    <w:rsid w:val="00113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4124</Characters>
  <Application>Microsoft Office Word</Application>
  <DocSecurity>0</DocSecurity>
  <Lines>179</Lines>
  <Paragraphs>93</Paragraphs>
  <ScaleCrop>false</ScaleCrop>
  <Company>Author-it Software Corporation Ltd.</Company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UETDRSB015 Maintain static var compensators (SVC)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