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699" w:rsidP="00A136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UETDRSB014 Maintain power and instrument transformers</w:t>
      </w:r>
      <w:r>
        <w:fldChar w:fldCharType="end"/>
      </w:r>
    </w:p>
    <w:p w:rsidR="00A13699" w:rsidP="00A13699">
      <w:pPr>
        <w:pStyle w:val="Version"/>
        <w:sectPr w:rsidSect="003273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39A" w:rsidP="0032739A">
      <w:pPr>
        <w:pStyle w:val="SuperHeading"/>
      </w:pPr>
      <w:r w:rsidRPr="0032739A">
        <w:t>UETDRSB014 Maintain power and instrument transformers</w:t>
      </w:r>
    </w:p>
    <w:p w:rsidR="00000000" w:rsidRPr="0032739A" w:rsidP="0032739A">
      <w:pPr>
        <w:pStyle w:val="Heading1"/>
      </w:pPr>
      <w:bookmarkStart w:id="1" w:name="O_1237408"/>
      <w:bookmarkEnd w:id="1"/>
      <w:r w:rsidRPr="003273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 w:rsidP="0032739A">
            <w:pPr>
              <w:pStyle w:val="BodyText"/>
            </w:pPr>
            <w:r w:rsidRPr="0032739A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32739A" w:rsidP="0032739A">
      <w:pPr>
        <w:pStyle w:val="NoPaddingFontSize1"/>
      </w:pPr>
    </w:p>
    <w:p w:rsidR="00000000" w:rsidRPr="0032739A" w:rsidP="0032739A">
      <w:pPr>
        <w:pStyle w:val="AllowPageBreak"/>
      </w:pPr>
    </w:p>
    <w:p w:rsidR="00000000" w:rsidRPr="0032739A" w:rsidP="0032739A">
      <w:pPr>
        <w:pStyle w:val="Heading1"/>
      </w:pPr>
      <w:bookmarkStart w:id="2" w:name="O_1237409"/>
      <w:bookmarkEnd w:id="2"/>
      <w:r w:rsidRPr="003273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 w:rsidP="0032739A">
            <w:pPr>
              <w:pStyle w:val="BodyText"/>
            </w:pPr>
            <w:r w:rsidRPr="0032739A">
              <w:t>This unit includes the skills and kn</w:t>
            </w:r>
            <w:r w:rsidRPr="0032739A">
              <w:t>owledge required to maintain power and instrument transformers in the electricity supply industry (ESI).</w:t>
            </w:r>
          </w:p>
          <w:p w:rsidR="00000000" w:rsidRPr="0032739A" w:rsidP="0032739A">
            <w:pPr>
              <w:pStyle w:val="BodyText"/>
            </w:pPr>
            <w:r w:rsidRPr="0032739A">
              <w:t>It includes types and characteristics of different transformers and their insulating mediums, and procedures for testing and maintaining each type.</w:t>
            </w:r>
          </w:p>
          <w:p w:rsidR="00000000" w:rsidRPr="0032739A" w:rsidP="0032739A">
            <w:pPr>
              <w:pStyle w:val="BodyText"/>
            </w:pPr>
            <w:r w:rsidRPr="0032739A">
              <w:t xml:space="preserve">It </w:t>
            </w:r>
            <w:r w:rsidRPr="0032739A">
              <w:t>also includes application, purpose and types of permits and access authorities.</w:t>
            </w:r>
          </w:p>
          <w:p w:rsidR="00000000" w:rsidRPr="0032739A" w:rsidP="0032739A">
            <w:pPr>
              <w:pStyle w:val="BodyText"/>
            </w:pPr>
            <w:r w:rsidRPr="0032739A">
              <w:rPr>
                <w:rStyle w:val="Emphasis"/>
              </w:rPr>
              <w:t>Note: Entry into this unit is for users who:</w:t>
            </w:r>
          </w:p>
          <w:p w:rsidR="00000000" w:rsidRPr="0032739A" w:rsidP="0032739A">
            <w:pPr>
              <w:pStyle w:val="ListBullet"/>
            </w:pPr>
            <w:r w:rsidRPr="0032739A">
              <w:rPr>
                <w:rStyle w:val="Emphasis"/>
              </w:rPr>
              <w:t>hold the unit UETDREL005 Work safely in the vicinity of live electrical apparatus or equivalent,</w:t>
            </w:r>
          </w:p>
          <w:p w:rsidR="00000000" w:rsidRPr="0032739A" w:rsidP="0032739A">
            <w:pPr>
              <w:pStyle w:val="BodyText"/>
            </w:pPr>
            <w:r w:rsidRPr="0032739A">
              <w:rPr>
                <w:rStyle w:val="Emphasis"/>
              </w:rPr>
              <w:t>and</w:t>
            </w:r>
          </w:p>
          <w:p w:rsidR="00000000" w:rsidRPr="0032739A" w:rsidP="0032739A">
            <w:pPr>
              <w:pStyle w:val="ListBullet"/>
            </w:pPr>
            <w:r w:rsidRPr="0032739A">
              <w:rPr>
                <w:rStyle w:val="Emphasis"/>
              </w:rPr>
              <w:t xml:space="preserve">hold an Electrician licence </w:t>
            </w:r>
            <w:r w:rsidRPr="0032739A">
              <w:rPr>
                <w:rStyle w:val="Emphasis"/>
              </w:rPr>
              <w:t>or the equivalent issued in an Australian state or territory,</w:t>
            </w:r>
          </w:p>
          <w:p w:rsidR="00000000" w:rsidRPr="0032739A" w:rsidP="0032739A">
            <w:pPr>
              <w:pStyle w:val="BodyText"/>
            </w:pPr>
            <w:r w:rsidRPr="0032739A">
              <w:rPr>
                <w:rStyle w:val="Emphasis"/>
              </w:rPr>
              <w:t xml:space="preserve">or </w:t>
            </w:r>
          </w:p>
          <w:p w:rsidR="00000000" w:rsidRPr="0032739A" w:rsidP="0032739A">
            <w:pPr>
              <w:pStyle w:val="ListBullet"/>
            </w:pPr>
            <w:r w:rsidRPr="0032739A">
              <w:rPr>
                <w:rStyle w:val="Emphasis"/>
              </w:rPr>
              <w:t>hold an Electrician qualification or the equivalent issued in an Australian state or territory.</w:t>
            </w:r>
          </w:p>
          <w:p w:rsidR="00000000" w:rsidRPr="0032739A" w:rsidP="0032739A">
            <w:pPr>
              <w:pStyle w:val="BodyText"/>
            </w:pPr>
            <w:r w:rsidRPr="0032739A">
              <w:rPr>
                <w:rStyle w:val="Emphasis"/>
              </w:rPr>
              <w:t xml:space="preserve">This unit can be undertaken in conjunction with the qualification listed above, provided all requirements for completion of the Certificate III qualification are met prior to issuing this unit. </w:t>
            </w:r>
          </w:p>
          <w:p w:rsidR="00000000" w:rsidRPr="0032739A" w:rsidP="0032739A">
            <w:pPr>
              <w:pStyle w:val="BodyText"/>
            </w:pPr>
            <w:r w:rsidRPr="0032739A">
              <w:t>The application of the skills and knowledge described in this</w:t>
            </w:r>
            <w:r w:rsidRPr="0032739A">
              <w:t xml:space="preserve"> unit may require a licence/registration to practice in the workplace.</w:t>
            </w:r>
          </w:p>
          <w:p w:rsidR="00000000" w:rsidRPr="0032739A" w:rsidP="0032739A">
            <w:pPr>
              <w:pStyle w:val="BodyText"/>
            </w:pPr>
            <w:r w:rsidRPr="0032739A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32739A" w:rsidP="0032739A">
      <w:pPr>
        <w:pStyle w:val="NoPaddingFontSize1"/>
      </w:pPr>
    </w:p>
    <w:p w:rsidR="00000000" w:rsidRPr="0032739A" w:rsidP="0032739A">
      <w:pPr>
        <w:pStyle w:val="AllowPageBreak"/>
      </w:pPr>
    </w:p>
    <w:p w:rsidR="00000000" w:rsidRPr="0032739A" w:rsidP="0032739A">
      <w:pPr>
        <w:pStyle w:val="Heading1"/>
      </w:pPr>
      <w:bookmarkStart w:id="3" w:name="O_1237410"/>
      <w:bookmarkEnd w:id="3"/>
      <w:r w:rsidRPr="0032739A">
        <w:t>P</w:t>
      </w:r>
      <w:r w:rsidRPr="0032739A">
        <w:t>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 w:rsidP="0032739A">
            <w:pPr>
              <w:pStyle w:val="BodyText"/>
            </w:pPr>
            <w:r w:rsidRPr="0032739A">
              <w:t>Refer to Application.</w:t>
            </w:r>
          </w:p>
        </w:tc>
      </w:tr>
    </w:tbl>
    <w:p w:rsidR="00000000" w:rsidRPr="0032739A" w:rsidP="0032739A">
      <w:pPr>
        <w:pStyle w:val="NoPaddingFontSize1"/>
      </w:pPr>
    </w:p>
    <w:p w:rsidR="00000000" w:rsidRPr="0032739A" w:rsidP="0032739A">
      <w:pPr>
        <w:pStyle w:val="AllowPageBreak"/>
      </w:pPr>
    </w:p>
    <w:p w:rsidR="00000000" w:rsidRPr="0032739A" w:rsidP="0032739A">
      <w:pPr>
        <w:pStyle w:val="Heading1"/>
      </w:pPr>
      <w:bookmarkStart w:id="4" w:name="O_1237411"/>
      <w:bookmarkEnd w:id="4"/>
      <w:r w:rsidRPr="003273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 w:rsidP="0032739A">
            <w:pPr>
              <w:pStyle w:val="BodyText"/>
            </w:pPr>
            <w:r w:rsidRPr="0032739A">
              <w:t>Substation</w:t>
            </w:r>
          </w:p>
        </w:tc>
      </w:tr>
    </w:tbl>
    <w:p w:rsidR="00000000" w:rsidRPr="0032739A" w:rsidP="0032739A">
      <w:pPr>
        <w:pStyle w:val="NoPaddingFontSize1"/>
      </w:pPr>
    </w:p>
    <w:p w:rsidR="00000000" w:rsidRPr="0032739A" w:rsidP="0032739A">
      <w:pPr>
        <w:pStyle w:val="AllowPageBreak"/>
      </w:pPr>
    </w:p>
    <w:p w:rsidR="00000000" w:rsidRPr="0032739A" w:rsidP="0032739A">
      <w:pPr>
        <w:pStyle w:val="Heading1"/>
      </w:pPr>
      <w:bookmarkStart w:id="5" w:name="O_1237412"/>
      <w:bookmarkEnd w:id="5"/>
      <w:r w:rsidRPr="003273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 w:rsidP="0032739A">
            <w:pPr>
              <w:pStyle w:val="BodyText"/>
            </w:pPr>
            <w:r w:rsidRPr="0032739A">
              <w:t>Not applicable.</w:t>
            </w:r>
          </w:p>
        </w:tc>
      </w:tr>
    </w:tbl>
    <w:p w:rsidR="00000000" w:rsidRPr="0032739A" w:rsidP="0032739A">
      <w:pPr>
        <w:pStyle w:val="NoPaddingFontSize1"/>
      </w:pPr>
    </w:p>
    <w:p w:rsidR="00000000" w:rsidRPr="0032739A" w:rsidP="0032739A">
      <w:pPr>
        <w:pStyle w:val="AllowPageBreak"/>
      </w:pPr>
    </w:p>
    <w:p w:rsidR="00000000" w:rsidRPr="0032739A" w:rsidP="0032739A">
      <w:pPr>
        <w:pStyle w:val="Heading1"/>
      </w:pPr>
      <w:bookmarkStart w:id="6" w:name="O_1237413"/>
      <w:bookmarkEnd w:id="6"/>
      <w:r w:rsidRPr="0032739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18"/>
        <w:gridCol w:w="936"/>
        <w:gridCol w:w="5340"/>
      </w:tblGrid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32739A" w:rsidP="0032739A">
            <w:pPr>
              <w:pStyle w:val="BodyText"/>
            </w:pPr>
            <w:r w:rsidRPr="0032739A">
              <w:rPr>
                <w:rStyle w:val="SpecialBold"/>
              </w:rPr>
              <w:t>ELEMENTS</w:t>
            </w:r>
          </w:p>
        </w:tc>
        <w:tc>
          <w:tcPr>
            <w:tcW w:w="62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PERFORMANCE CRITERIA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Elements describe the essential outcomes.</w:t>
            </w:r>
          </w:p>
        </w:tc>
        <w:tc>
          <w:tcPr>
            <w:tcW w:w="627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Performance criteria describe the performance needed to demonstrate achievement of the element.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 w:rsidP="0032739A">
            <w:pPr>
              <w:pStyle w:val="BodyText"/>
            </w:pPr>
            <w:r w:rsidRPr="0032739A">
              <w:rPr>
                <w:rStyle w:val="SpecialBold"/>
              </w:rPr>
              <w:t xml:space="preserve">1 </w:t>
            </w: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 w:rsidP="0032739A">
            <w:pPr>
              <w:pStyle w:val="BodyText"/>
            </w:pPr>
            <w:r w:rsidRPr="0032739A">
              <w:rPr>
                <w:rStyle w:val="SpecialBold"/>
              </w:rPr>
              <w:t>Prepare to maintain power and instrument transformers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1.1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 xml:space="preserve">Legislation, regulations, standards, codes of practice and organisational workplace requirements for the work to be performed are reviewed and determined 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1.2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Work plan is obtained, confirmed and communicated with relevant personnel in accordance with w</w:t>
            </w:r>
            <w:r w:rsidRPr="0032739A">
              <w:t>orkplace requirements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1.3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Hazards are identified, risks assessed, and control measures identified and applied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1.4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Work is prioritised and sequenced for completion in accordance with work plan and workplace requirements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1.5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Plant, tools, equipment and personal protective equipment (PPE) required for work are determined, obtained and confirmed in working order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1.6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 xml:space="preserve">Liaison and communication issues with authorised personnel, authorities and clients are resolved to facilitate </w:t>
            </w:r>
            <w:r w:rsidRPr="0032739A">
              <w:t>work, as required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1.7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Worksite is prepared in accordance with the work plan and workplace requirements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2</w:t>
            </w: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 w:rsidP="0032739A">
            <w:pPr>
              <w:pStyle w:val="BodyText"/>
            </w:pPr>
            <w:r w:rsidRPr="0032739A">
              <w:t>M</w:t>
            </w:r>
            <w:r w:rsidRPr="0032739A">
              <w:rPr>
                <w:rStyle w:val="SpecialBold"/>
              </w:rPr>
              <w:t>aintain power and instrument transformers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2.1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Legislation, regulations, standards, codes of practice and organisational workplace re</w:t>
            </w:r>
            <w:r w:rsidRPr="0032739A">
              <w:t>quirements for the work to be performed are applied and monitored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2.2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Work permits are received and signed in accordance with workplace requirements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2.3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Lifting, working at heights, working in confined spaces and the use of plant, tools, equipment an</w:t>
            </w:r>
            <w:r w:rsidRPr="0032739A">
              <w:t>d PPE are carried out in accordance with workplace requirements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2.4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Power and instrument transformers are maintained in accordance with workplace requirements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2.5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Quality checks of work are undertaken in accordance with work plan and workplace requirements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2.6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Incidents or unplanned events are responded to in accordance with workplace requirements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 w:rsidP="0032739A">
            <w:pPr>
              <w:pStyle w:val="BodyText"/>
            </w:pPr>
            <w:r w:rsidRPr="0032739A">
              <w:rPr>
                <w:rStyle w:val="SpecialBold"/>
              </w:rPr>
              <w:t>3</w:t>
            </w: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 w:rsidP="0032739A">
            <w:pPr>
              <w:pStyle w:val="BodyText"/>
            </w:pPr>
            <w:r w:rsidRPr="0032739A">
              <w:rPr>
                <w:rStyle w:val="SpecialBold"/>
              </w:rPr>
              <w:t>Complete work and documentation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3.1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Completed work is checked f</w:t>
            </w:r>
            <w:r w:rsidRPr="0032739A">
              <w:t>or compliance against the work plan and workplace requirements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3.2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Work permits are signed off in accordance with workplace requirements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3.3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Worksite is rehabilitated, cleaned and made safe in accordance with workplace requirements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3.4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t>Plant, tools and equipment are cleaned, checked and returned to storage, and surplus resources and materials are managed in accordance with workplace requirements</w:t>
            </w:r>
          </w:p>
        </w:tc>
      </w:tr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>
            <w:pPr>
              <w:pStyle w:val="BodyText"/>
              <w:keepLines w:val="0"/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39A">
            <w:pPr>
              <w:pStyle w:val="BodyText"/>
              <w:rPr>
                <w:lang w:val="en-NZ"/>
              </w:rPr>
            </w:pPr>
            <w:r w:rsidRPr="0032739A">
              <w:rPr>
                <w:rStyle w:val="SpecialBold"/>
              </w:rPr>
              <w:t>3.5</w:t>
            </w: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 w:rsidP="0032739A">
            <w:pPr>
              <w:pStyle w:val="BodyText"/>
            </w:pPr>
            <w:r w:rsidRPr="0032739A">
              <w:t>Work records, reports and documentation are completed, and where relevant, appropriate</w:t>
            </w:r>
            <w:r w:rsidRPr="0032739A">
              <w:t xml:space="preserve"> personnel notified in accordance with workplace requirements</w:t>
            </w:r>
          </w:p>
        </w:tc>
      </w:tr>
    </w:tbl>
    <w:p w:rsidR="00000000" w:rsidRPr="0032739A" w:rsidP="0032739A">
      <w:pPr>
        <w:pStyle w:val="NoPaddingFontSize1"/>
      </w:pPr>
    </w:p>
    <w:p w:rsidR="00000000" w:rsidRPr="0032739A" w:rsidP="0032739A">
      <w:pPr>
        <w:pStyle w:val="AllowPageBreak"/>
      </w:pPr>
    </w:p>
    <w:p w:rsidR="00000000" w:rsidRPr="0032739A" w:rsidP="0032739A">
      <w:pPr>
        <w:pStyle w:val="Heading1"/>
      </w:pPr>
      <w:bookmarkStart w:id="7" w:name="O_1237414"/>
      <w:bookmarkEnd w:id="7"/>
      <w:r w:rsidRPr="003273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 w:rsidP="0032739A">
            <w:pPr>
              <w:pStyle w:val="BodyText"/>
            </w:pPr>
            <w:r w:rsidRPr="0032739A">
              <w:t>Foundation skills essential to performance are explicit in the performance criteria of this unit of competency.</w:t>
            </w:r>
          </w:p>
        </w:tc>
      </w:tr>
    </w:tbl>
    <w:p w:rsidR="00000000" w:rsidRPr="0032739A" w:rsidP="0032739A">
      <w:pPr>
        <w:pStyle w:val="NoPaddingFontSize1"/>
      </w:pPr>
    </w:p>
    <w:p w:rsidR="00000000" w:rsidRPr="0032739A" w:rsidP="0032739A">
      <w:pPr>
        <w:pStyle w:val="AllowPageBreak"/>
      </w:pPr>
    </w:p>
    <w:p w:rsidR="00000000" w:rsidRPr="0032739A" w:rsidP="0032739A">
      <w:pPr>
        <w:pStyle w:val="Heading1"/>
      </w:pPr>
      <w:bookmarkStart w:id="8" w:name="O_1237415"/>
      <w:bookmarkEnd w:id="8"/>
      <w:r w:rsidRPr="003273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 w:rsidP="0032739A">
            <w:pPr>
              <w:pStyle w:val="BodyText"/>
            </w:pPr>
            <w:r w:rsidRPr="0032739A">
              <w:t>Ra</w:t>
            </w:r>
            <w:r w:rsidRPr="0032739A">
              <w:t>nge is restricted to essential operating conditions and any other variables essential to the work environment.</w:t>
            </w:r>
          </w:p>
          <w:p w:rsidR="00000000" w:rsidRPr="0032739A" w:rsidP="0032739A">
            <w:pPr>
              <w:pStyle w:val="BodyText"/>
            </w:pPr>
            <w:r w:rsidRPr="0032739A">
              <w:t>Non-essential conditions may be found in the UET Transmission, Distribution and Rail Sector Training Package Companion Volume Implementation Guid</w:t>
            </w:r>
            <w:r w:rsidRPr="0032739A">
              <w:t>e.</w:t>
            </w:r>
          </w:p>
        </w:tc>
      </w:tr>
    </w:tbl>
    <w:p w:rsidR="00000000" w:rsidRPr="0032739A" w:rsidP="0032739A">
      <w:pPr>
        <w:pStyle w:val="NoPaddingFontSize1"/>
      </w:pPr>
    </w:p>
    <w:p w:rsidR="00000000" w:rsidRPr="0032739A" w:rsidP="0032739A">
      <w:pPr>
        <w:pStyle w:val="AllowPageBreak"/>
      </w:pPr>
    </w:p>
    <w:p w:rsidR="00000000" w:rsidRPr="0032739A" w:rsidP="0032739A">
      <w:pPr>
        <w:pStyle w:val="Heading1"/>
      </w:pPr>
      <w:bookmarkStart w:id="9" w:name="O_1237416"/>
      <w:bookmarkEnd w:id="9"/>
      <w:r w:rsidRPr="003273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273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39A" w:rsidP="0032739A">
            <w:pPr>
              <w:pStyle w:val="BodyText"/>
            </w:pPr>
            <w:r w:rsidRPr="0032739A">
              <w:t>This unit replaces and is not equivalent to UETTDRSB25 Maintain high voltage power and instrument transformers.</w:t>
            </w:r>
          </w:p>
        </w:tc>
      </w:tr>
    </w:tbl>
    <w:p w:rsidR="00000000" w:rsidRPr="0032739A" w:rsidP="0032739A">
      <w:pPr>
        <w:pStyle w:val="NoPaddingFontSize1"/>
      </w:pPr>
    </w:p>
    <w:p w:rsidR="00000000" w:rsidRPr="0032739A" w:rsidP="0032739A">
      <w:pPr>
        <w:pStyle w:val="AllowPageBreak"/>
      </w:pPr>
    </w:p>
    <w:p w:rsidR="00000000" w:rsidRPr="0032739A" w:rsidP="0032739A">
      <w:pPr>
        <w:pStyle w:val="Heading1"/>
      </w:pPr>
      <w:bookmarkStart w:id="10" w:name="O_1237423"/>
      <w:bookmarkEnd w:id="10"/>
      <w:r w:rsidRPr="0032739A">
        <w:t>Links</w:t>
      </w:r>
    </w:p>
    <w:p w:rsidR="00000000" w:rsidRPr="0032739A" w:rsidP="00A13699">
      <w:pPr>
        <w:pStyle w:val="BodyText"/>
      </w:pPr>
      <w:r w:rsidRPr="003273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C23B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32739A" w:rsidP="0032739A"/>
    <w:sectPr w:rsidSect="003273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9A" w:rsidRPr="00A13699" w:rsidP="00A136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99" w:rsidP="003273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699" w:rsidP="003273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3699" w:rsidP="003273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39A" w:rsidRPr="00A13699" w:rsidP="00A136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3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699" w:rsidRPr="002D2AF8" w:rsidP="003273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UETDRSB014 Maintain power and instrument transformers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A13699" w:rsidP="003273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E410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067A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3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3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3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3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3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3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3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3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3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3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3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39A"/>
  </w:style>
  <w:style w:type="character" w:customStyle="1" w:styleId="Heading1Char">
    <w:name w:val="Heading 1 Char"/>
    <w:basedOn w:val="DefaultParagraphFont"/>
    <w:link w:val="Heading1"/>
    <w:rsid w:val="003273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3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3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3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39A"/>
    <w:rPr>
      <w:b/>
      <w:spacing w:val="0"/>
    </w:rPr>
  </w:style>
  <w:style w:type="character" w:styleId="Emphasis">
    <w:name w:val="Emphasis"/>
    <w:basedOn w:val="DefaultParagraphFont"/>
    <w:qFormat/>
    <w:rsid w:val="0032739A"/>
    <w:rPr>
      <w:i/>
    </w:rPr>
  </w:style>
  <w:style w:type="paragraph" w:customStyle="1" w:styleId="SuperHeading">
    <w:name w:val="SuperHeading"/>
    <w:basedOn w:val="Normal"/>
    <w:rsid w:val="003273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3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273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3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3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3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3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3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3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3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3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3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3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3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3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3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3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3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3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3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3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3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3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73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73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3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3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3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3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3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3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3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3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3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3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3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39A"/>
  </w:style>
  <w:style w:type="paragraph" w:styleId="TableofFigures">
    <w:name w:val="table of figures"/>
    <w:basedOn w:val="Normal"/>
    <w:next w:val="Normal"/>
    <w:semiHidden/>
    <w:rsid w:val="003273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3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739A"/>
    <w:rPr>
      <w:rFonts w:ascii="Wingdings" w:hAnsi="Wingdings"/>
    </w:rPr>
  </w:style>
  <w:style w:type="paragraph" w:customStyle="1" w:styleId="TableHeading">
    <w:name w:val="Table Heading"/>
    <w:basedOn w:val="HeadingBase"/>
    <w:rsid w:val="003273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39A"/>
    <w:rPr>
      <w:color w:val="0033CC"/>
      <w:u w:val="none"/>
    </w:rPr>
  </w:style>
  <w:style w:type="paragraph" w:customStyle="1" w:styleId="BodyTextRight">
    <w:name w:val="Body Text Right"/>
    <w:basedOn w:val="BodyText"/>
    <w:rsid w:val="003273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3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3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3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3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3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39A"/>
    <w:rPr>
      <w:sz w:val="32"/>
    </w:rPr>
  </w:style>
  <w:style w:type="paragraph" w:customStyle="1" w:styleId="HeadingProcedure">
    <w:name w:val="Heading Procedure"/>
    <w:basedOn w:val="HeadingBase"/>
    <w:next w:val="Normal"/>
    <w:rsid w:val="003273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39A"/>
    <w:pPr>
      <w:spacing w:before="60" w:after="60"/>
    </w:pPr>
  </w:style>
  <w:style w:type="paragraph" w:styleId="ListContinue">
    <w:name w:val="List Continue"/>
    <w:basedOn w:val="List"/>
    <w:rsid w:val="0032739A"/>
    <w:pPr>
      <w:ind w:firstLine="0"/>
    </w:pPr>
  </w:style>
  <w:style w:type="paragraph" w:customStyle="1" w:styleId="ListNote">
    <w:name w:val="List Note"/>
    <w:basedOn w:val="List"/>
    <w:rsid w:val="003273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3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3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39A"/>
    <w:rPr>
      <w:rFonts w:ascii="Courier New" w:hAnsi="Courier New"/>
    </w:rPr>
  </w:style>
  <w:style w:type="paragraph" w:customStyle="1" w:styleId="NoteBullet">
    <w:name w:val="Note Bullet"/>
    <w:basedOn w:val="Note"/>
    <w:rsid w:val="003273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3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3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3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3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73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3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39A"/>
    <w:rPr>
      <w:b/>
      <w:smallCaps/>
    </w:rPr>
  </w:style>
  <w:style w:type="paragraph" w:customStyle="1" w:styleId="TableListNumber">
    <w:name w:val="Table List Number"/>
    <w:basedOn w:val="ListNumber"/>
    <w:rsid w:val="003273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3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39A"/>
    <w:pPr>
      <w:numPr>
        <w:numId w:val="8"/>
      </w:numPr>
    </w:pPr>
  </w:style>
  <w:style w:type="paragraph" w:customStyle="1" w:styleId="ListAlpha2">
    <w:name w:val="List Alpha 2"/>
    <w:basedOn w:val="List2"/>
    <w:rsid w:val="0032739A"/>
    <w:pPr>
      <w:numPr>
        <w:numId w:val="7"/>
      </w:numPr>
    </w:pPr>
  </w:style>
  <w:style w:type="paragraph" w:styleId="List2">
    <w:name w:val="List 2"/>
    <w:basedOn w:val="BodyText"/>
    <w:rsid w:val="003273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3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3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3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3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3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739A"/>
    <w:pPr>
      <w:numPr>
        <w:numId w:val="3"/>
      </w:numPr>
    </w:pPr>
  </w:style>
  <w:style w:type="paragraph" w:styleId="ListContinue2">
    <w:name w:val="List Continue 2"/>
    <w:basedOn w:val="List2"/>
    <w:rsid w:val="0032739A"/>
    <w:pPr>
      <w:ind w:firstLine="0"/>
    </w:pPr>
  </w:style>
  <w:style w:type="paragraph" w:styleId="ListContinue3">
    <w:name w:val="List Continue 3"/>
    <w:basedOn w:val="List3"/>
    <w:rsid w:val="0032739A"/>
    <w:pPr>
      <w:ind w:left="1021" w:firstLine="0"/>
    </w:pPr>
  </w:style>
  <w:style w:type="paragraph" w:styleId="ListContinue4">
    <w:name w:val="List Continue 4"/>
    <w:basedOn w:val="List4"/>
    <w:rsid w:val="0032739A"/>
    <w:pPr>
      <w:ind w:firstLine="0"/>
    </w:pPr>
  </w:style>
  <w:style w:type="paragraph" w:styleId="ListContinue5">
    <w:name w:val="List Continue 5"/>
    <w:basedOn w:val="List5"/>
    <w:rsid w:val="0032739A"/>
    <w:pPr>
      <w:ind w:firstLine="0"/>
    </w:pPr>
  </w:style>
  <w:style w:type="paragraph" w:styleId="ListNumber3">
    <w:name w:val="List Number 3"/>
    <w:basedOn w:val="List3"/>
    <w:rsid w:val="0032739A"/>
    <w:pPr>
      <w:numPr>
        <w:numId w:val="4"/>
      </w:numPr>
    </w:pPr>
  </w:style>
  <w:style w:type="paragraph" w:styleId="ListNumber4">
    <w:name w:val="List Number 4"/>
    <w:basedOn w:val="List4"/>
    <w:rsid w:val="0032739A"/>
    <w:pPr>
      <w:numPr>
        <w:numId w:val="5"/>
      </w:numPr>
    </w:pPr>
  </w:style>
  <w:style w:type="paragraph" w:styleId="ListNumber5">
    <w:name w:val="List Number 5"/>
    <w:basedOn w:val="List5"/>
    <w:rsid w:val="0032739A"/>
    <w:pPr>
      <w:numPr>
        <w:numId w:val="6"/>
      </w:numPr>
    </w:pPr>
  </w:style>
  <w:style w:type="paragraph" w:styleId="BlockText">
    <w:name w:val="Block Text"/>
    <w:basedOn w:val="Normal"/>
    <w:rsid w:val="003273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3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39A"/>
    <w:rPr>
      <w:sz w:val="16"/>
      <w:vertAlign w:val="superscript"/>
    </w:rPr>
  </w:style>
  <w:style w:type="character" w:customStyle="1" w:styleId="Symbols">
    <w:name w:val="Symbols"/>
    <w:basedOn w:val="DefaultParagraphFont"/>
    <w:rsid w:val="0032739A"/>
    <w:rPr>
      <w:rFonts w:ascii="Symbol" w:hAnsi="Symbol"/>
    </w:rPr>
  </w:style>
  <w:style w:type="character" w:customStyle="1" w:styleId="MenuOptions">
    <w:name w:val="Menu Options"/>
    <w:basedOn w:val="DefaultParagraphFont"/>
    <w:rsid w:val="003273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39A"/>
    <w:rPr>
      <w:b/>
    </w:rPr>
  </w:style>
  <w:style w:type="character" w:customStyle="1" w:styleId="Underlined">
    <w:name w:val="Underlined"/>
    <w:basedOn w:val="DefaultParagraphFont"/>
    <w:rsid w:val="0032739A"/>
    <w:rPr>
      <w:u w:val="single"/>
    </w:rPr>
  </w:style>
  <w:style w:type="paragraph" w:customStyle="1" w:styleId="TableBodyTextRight">
    <w:name w:val="Table Body Text Right"/>
    <w:basedOn w:val="TableBodyText"/>
    <w:rsid w:val="003273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39A"/>
    <w:rPr>
      <w:sz w:val="18"/>
    </w:rPr>
  </w:style>
  <w:style w:type="paragraph" w:customStyle="1" w:styleId="BodySmallRight">
    <w:name w:val="Body Small Right"/>
    <w:basedOn w:val="BodyTextRight"/>
    <w:rsid w:val="0032739A"/>
    <w:rPr>
      <w:sz w:val="18"/>
      <w:szCs w:val="18"/>
    </w:rPr>
  </w:style>
  <w:style w:type="paragraph" w:customStyle="1" w:styleId="MarginEdition">
    <w:name w:val="Margin Edition"/>
    <w:basedOn w:val="MarginNote"/>
    <w:rsid w:val="003273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39A"/>
    <w:rPr>
      <w:sz w:val="2"/>
      <w:szCs w:val="2"/>
    </w:rPr>
  </w:style>
  <w:style w:type="character" w:customStyle="1" w:styleId="Small">
    <w:name w:val="Small"/>
    <w:basedOn w:val="DefaultParagraphFont"/>
    <w:rsid w:val="0032739A"/>
    <w:rPr>
      <w:sz w:val="16"/>
    </w:rPr>
  </w:style>
  <w:style w:type="paragraph" w:customStyle="1" w:styleId="WideTable">
    <w:name w:val="Wide Table"/>
    <w:basedOn w:val="Normal"/>
    <w:rsid w:val="003273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39A"/>
  </w:style>
  <w:style w:type="paragraph" w:styleId="Quote">
    <w:name w:val="Quote"/>
    <w:basedOn w:val="Heading1"/>
    <w:link w:val="QuoteChar"/>
    <w:qFormat/>
    <w:rsid w:val="003273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3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39A"/>
    <w:pPr>
      <w:pageBreakBefore/>
    </w:pPr>
  </w:style>
  <w:style w:type="paragraph" w:customStyle="1" w:styleId="Border">
    <w:name w:val="Border"/>
    <w:basedOn w:val="Normal"/>
    <w:qFormat/>
    <w:rsid w:val="003273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3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3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3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3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3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3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3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3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39A"/>
    <w:rPr>
      <w:u w:val="single"/>
    </w:rPr>
  </w:style>
  <w:style w:type="character" w:customStyle="1" w:styleId="BoldandItalics">
    <w:name w:val="Bold and Italics"/>
    <w:qFormat/>
    <w:rsid w:val="0032739A"/>
    <w:rPr>
      <w:b/>
      <w:i/>
      <w:u w:val="none"/>
    </w:rPr>
  </w:style>
  <w:style w:type="paragraph" w:styleId="BalloonText">
    <w:name w:val="Balloon Text"/>
    <w:basedOn w:val="Normal"/>
    <w:link w:val="BalloonTextChar"/>
    <w:rsid w:val="00327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3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3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3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3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3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39A"/>
    <w:pPr>
      <w:spacing w:before="0" w:after="0"/>
    </w:pPr>
  </w:style>
  <w:style w:type="paragraph" w:customStyle="1" w:styleId="BodyTextBold">
    <w:name w:val="Body Text Bold"/>
    <w:basedOn w:val="BodyText"/>
    <w:qFormat/>
    <w:rsid w:val="0032739A"/>
    <w:rPr>
      <w:b/>
    </w:rPr>
  </w:style>
  <w:style w:type="character" w:styleId="Hyperlink">
    <w:name w:val="Hyperlink"/>
    <w:basedOn w:val="DefaultParagraphFont"/>
    <w:uiPriority w:val="99"/>
    <w:unhideWhenUsed/>
    <w:rsid w:val="00A136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4298</Characters>
  <Application>Microsoft Office Word</Application>
  <DocSecurity>0</DocSecurity>
  <Lines>186</Lines>
  <Paragraphs>95</Paragraphs>
  <ScaleCrop>false</ScaleCrop>
  <Company>Author-it Software Corporation Ltd.</Company>
  <LinksUpToDate>false</LinksUpToDate>
  <CharactersWithSpaces>4893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UETDRSB014 Maintain power and instrument transformers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