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E1D" w:rsidP="00F52E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UETDRSB008 Install high current d.c. equipment and switchgear</w:t>
      </w:r>
      <w:r>
        <w:fldChar w:fldCharType="end"/>
      </w:r>
    </w:p>
    <w:p w:rsidR="00F52E1D" w:rsidP="00F52E1D">
      <w:pPr>
        <w:pStyle w:val="Version"/>
        <w:sectPr w:rsidSect="00AF0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B43" w:rsidP="00AF0B43">
      <w:pPr>
        <w:pStyle w:val="SuperHeading"/>
      </w:pPr>
      <w:r w:rsidRPr="00AF0B43">
        <w:t>UETDRSB008 Install high current d.c. equipment and switchgear</w:t>
      </w:r>
    </w:p>
    <w:p w:rsidR="00000000" w:rsidRPr="00AF0B43" w:rsidP="00AF0B43">
      <w:pPr>
        <w:pStyle w:val="Heading1"/>
      </w:pPr>
      <w:bookmarkStart w:id="1" w:name="O_1237294"/>
      <w:bookmarkEnd w:id="1"/>
      <w:r w:rsidRPr="00AF0B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2" w:name="O_1237295"/>
      <w:bookmarkEnd w:id="2"/>
      <w:r w:rsidRPr="00AF0B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This unit includes the skills and knowledge required to install high current direct current (d.c.) equipment and switchgear in the electricity supply industry (ESI).</w:t>
            </w:r>
          </w:p>
          <w:p w:rsidR="00000000" w:rsidRPr="00AF0B43" w:rsidP="00AF0B43">
            <w:pPr>
              <w:pStyle w:val="BodyText"/>
            </w:pPr>
            <w:r w:rsidRPr="00AF0B43">
              <w:t>It includes d.c. circuit breakers, rectifier transformers, rectifiers, isolators and links</w:t>
            </w:r>
            <w:r w:rsidRPr="00AF0B43">
              <w:t>, harmonic filters, negative reactors, and energy dissipation resistors.</w:t>
            </w:r>
          </w:p>
          <w:p w:rsidR="00000000" w:rsidRPr="00AF0B43" w:rsidP="00AF0B43">
            <w:pPr>
              <w:pStyle w:val="BodyText"/>
            </w:pPr>
            <w:r w:rsidRPr="00AF0B43">
              <w:t>It also includes diagrams, drawings, manuals, specialised tools, and testing equipment.</w:t>
            </w:r>
          </w:p>
          <w:p w:rsidR="00000000" w:rsidRPr="00AF0B43" w:rsidP="00AF0B43">
            <w:pPr>
              <w:pStyle w:val="BodyText"/>
            </w:pPr>
            <w:r w:rsidRPr="00AF0B43">
              <w:rPr>
                <w:rStyle w:val="Emphasis"/>
              </w:rPr>
              <w:t>Note: Entry into this unit is for users who:</w:t>
            </w:r>
          </w:p>
          <w:p w:rsidR="00000000" w:rsidRPr="00AF0B43" w:rsidP="00AF0B43">
            <w:pPr>
              <w:pStyle w:val="ListBullet"/>
            </w:pPr>
            <w:r w:rsidRPr="00AF0B43">
              <w:rPr>
                <w:rStyle w:val="Emphasis"/>
              </w:rPr>
              <w:t>hold the unit UETDREL005 Work safely in the vicin</w:t>
            </w:r>
            <w:r w:rsidRPr="00AF0B43">
              <w:rPr>
                <w:rStyle w:val="Emphasis"/>
              </w:rPr>
              <w:t>ity of live electrical apparatus or equivalent,</w:t>
            </w:r>
          </w:p>
          <w:p w:rsidR="00000000" w:rsidRPr="00AF0B43" w:rsidP="00AF0B43">
            <w:pPr>
              <w:pStyle w:val="BodyText"/>
            </w:pPr>
            <w:r w:rsidRPr="00AF0B43">
              <w:rPr>
                <w:rStyle w:val="Emphasis"/>
              </w:rPr>
              <w:t>and</w:t>
            </w:r>
          </w:p>
          <w:p w:rsidR="00000000" w:rsidRPr="00AF0B43" w:rsidP="00AF0B43">
            <w:pPr>
              <w:pStyle w:val="ListBullet"/>
            </w:pPr>
            <w:r w:rsidRPr="00AF0B43">
              <w:rPr>
                <w:rStyle w:val="Emphasis"/>
              </w:rPr>
              <w:t>hold an Electrician licence or the equivalent issued in an Australian state or territory,</w:t>
            </w:r>
          </w:p>
          <w:p w:rsidR="00000000" w:rsidRPr="00AF0B43" w:rsidP="00AF0B43">
            <w:pPr>
              <w:pStyle w:val="BodyText"/>
            </w:pPr>
            <w:r w:rsidRPr="00AF0B43">
              <w:rPr>
                <w:rStyle w:val="Emphasis"/>
              </w:rPr>
              <w:t xml:space="preserve">or </w:t>
            </w:r>
          </w:p>
          <w:p w:rsidR="00000000" w:rsidRPr="00AF0B43" w:rsidP="00AF0B43">
            <w:pPr>
              <w:pStyle w:val="ListBullet"/>
            </w:pPr>
            <w:r w:rsidRPr="00AF0B43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AF0B43" w:rsidP="00AF0B43">
            <w:pPr>
              <w:pStyle w:val="BodyText"/>
            </w:pPr>
            <w:r w:rsidRPr="00AF0B43">
              <w:rPr>
                <w:rStyle w:val="Emphasis"/>
              </w:rPr>
              <w:t>This unit can be undertaken in conjunction with the qualification listed above, provided all requirements for completion of the Certificate III qualification are met prior to issuing this unit.</w:t>
            </w:r>
          </w:p>
          <w:p w:rsidR="00000000" w:rsidRPr="00AF0B43" w:rsidP="00AF0B43">
            <w:pPr>
              <w:pStyle w:val="BodyText"/>
            </w:pPr>
            <w:r w:rsidRPr="00AF0B43">
              <w:t xml:space="preserve">The application of the skills and knowledge described in this </w:t>
            </w:r>
            <w:r w:rsidRPr="00AF0B43">
              <w:t>unit may require a licence/registration to practice in the workplace.</w:t>
            </w:r>
          </w:p>
          <w:p w:rsidR="00000000" w:rsidRPr="00AF0B43" w:rsidP="00AF0B43">
            <w:pPr>
              <w:pStyle w:val="BodyText"/>
            </w:pPr>
            <w:r w:rsidRPr="00AF0B43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3" w:name="O_1237296"/>
      <w:bookmarkEnd w:id="3"/>
      <w:r w:rsidRPr="00AF0B43">
        <w:t>Pr</w:t>
      </w:r>
      <w:r w:rsidRPr="00AF0B43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Refer to Application.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4" w:name="O_1237297"/>
      <w:bookmarkEnd w:id="4"/>
      <w:r w:rsidRPr="00AF0B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Substation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5" w:name="O_1237298"/>
      <w:bookmarkEnd w:id="5"/>
      <w:r w:rsidRPr="00AF0B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Not applicable.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6" w:name="O_1237299"/>
      <w:bookmarkEnd w:id="6"/>
      <w:r w:rsidRPr="00AF0B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"/>
        <w:gridCol w:w="2889"/>
        <w:gridCol w:w="702"/>
        <w:gridCol w:w="5626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ELEMENTS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PERFORMANCE CRITERIA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Elements describe the essential outcomes.</w:t>
            </w:r>
          </w:p>
        </w:tc>
        <w:tc>
          <w:tcPr>
            <w:tcW w:w="63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Performance criteria describe the performance needed to demonstrate achievement of the element.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Prepare to install high current d.c. switchgear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Legislation, regulations, standards, codes of practice and organisational workplace requirements for the work to be done are reviewed and determined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 plan is obtained and confirmed in accordance with workplace requirements, and where relevant, c</w:t>
            </w:r>
            <w:r w:rsidRPr="00AF0B43">
              <w:t xml:space="preserve">ommunicated to the appropriate personnel  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Hazards are identified, risks assessed, and control measures identified and applied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 is prioritised and sequenced for completion in accordance with work plan and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Plant, tools, equipment and personal protective equipment (PPE) required for work are determined, obtained and confirmed in working order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 permits are determined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Liaison and communication issues w</w:t>
            </w:r>
            <w:r w:rsidRPr="00AF0B43">
              <w:t>ith authorised personnel, authorities and clients are resolved to facilitate work, as required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1.8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Worksite is prepared in accordance with the work plan and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Install high current d.c. switchgear and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Legislation, regulations, standards, codes of practice and organisational workplace requirements for the work to be performed are applied and monitored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 permits are received and signed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Lifting, wo</w:t>
            </w:r>
            <w:r w:rsidRPr="00AF0B43">
              <w:t xml:space="preserve">rking at heights, working in confined spaces and the use of plant, tools, equipment and PPE are </w:t>
            </w:r>
            <w:r w:rsidRPr="00AF0B43">
              <w:t>carried out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Hazard control measures are monitored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High current d.c. switchgear and equipment is installed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2.6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Quality checks of work are undertaken in accordance with work plan and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2.7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 xml:space="preserve">Incidents or unplanned events are responded to in </w:t>
            </w:r>
            <w:r w:rsidRPr="00AF0B43">
              <w:t>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3.1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Completed work is checked for compliance against the work plan and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3.2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 permits are signed off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3.3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Worksite is rehabilitated, cleaned and made safe in accordance with workplace requirements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3.4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t>Plant, tools and equipment are cleaned, checked and returned to storage, and surplus resources and materials are managed in accordance with workplace requirem</w:t>
            </w:r>
            <w:r w:rsidRPr="00AF0B43">
              <w:t xml:space="preserve">ents </w:t>
            </w:r>
          </w:p>
        </w:tc>
      </w:tr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B43">
            <w:pPr>
              <w:pStyle w:val="BodyText"/>
              <w:rPr>
                <w:lang w:val="en-NZ"/>
              </w:rPr>
            </w:pPr>
            <w:r w:rsidRPr="00AF0B43">
              <w:rPr>
                <w:rStyle w:val="SpecialBold"/>
              </w:rPr>
              <w:t>3.5</w:t>
            </w:r>
          </w:p>
        </w:tc>
        <w:tc>
          <w:tcPr>
            <w:tcW w:w="5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7" w:name="O_1237300"/>
      <w:bookmarkEnd w:id="7"/>
      <w:r w:rsidRPr="00AF0B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Foundation skills essential to performance are explicit in the performance criteria of this unit of competency.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8" w:name="O_1237301"/>
      <w:bookmarkEnd w:id="8"/>
      <w:r w:rsidRPr="00AF0B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Range is restricted to essential operating conditions and any other variables essential to the work env</w:t>
            </w:r>
            <w:r w:rsidRPr="00AF0B43">
              <w:t>ironment.</w:t>
            </w:r>
          </w:p>
          <w:p w:rsidR="00000000" w:rsidRPr="00AF0B43" w:rsidP="00AF0B43">
            <w:pPr>
              <w:pStyle w:val="BodyText"/>
            </w:pPr>
            <w:r w:rsidRPr="00AF0B4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9" w:name="O_1237302"/>
      <w:bookmarkEnd w:id="9"/>
      <w:r w:rsidRPr="00AF0B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0B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B43" w:rsidP="00AF0B43">
            <w:pPr>
              <w:pStyle w:val="BodyText"/>
            </w:pPr>
            <w:r w:rsidRPr="00AF0B43">
              <w:t>This unit replaces and is not equivalent to UETTDRS</w:t>
            </w:r>
            <w:r w:rsidRPr="00AF0B43">
              <w:t>B26 Install high current d.c. equipment and switchgear.</w:t>
            </w:r>
          </w:p>
        </w:tc>
      </w:tr>
    </w:tbl>
    <w:p w:rsidR="00000000" w:rsidRPr="00AF0B43" w:rsidP="00AF0B43">
      <w:pPr>
        <w:pStyle w:val="NoPaddingFontSize1"/>
      </w:pPr>
    </w:p>
    <w:p w:rsidR="00000000" w:rsidRPr="00AF0B43" w:rsidP="00AF0B43">
      <w:pPr>
        <w:pStyle w:val="AllowPageBreak"/>
      </w:pPr>
    </w:p>
    <w:p w:rsidR="00000000" w:rsidRPr="00AF0B43" w:rsidP="00AF0B43">
      <w:pPr>
        <w:pStyle w:val="Heading1"/>
      </w:pPr>
      <w:bookmarkStart w:id="10" w:name="O_1237309"/>
      <w:bookmarkEnd w:id="10"/>
      <w:r w:rsidRPr="00AF0B43">
        <w:t>Links</w:t>
      </w:r>
    </w:p>
    <w:p w:rsidR="00000000" w:rsidRPr="00AF0B43" w:rsidP="00F52E1D">
      <w:pPr>
        <w:pStyle w:val="BodyText"/>
      </w:pPr>
      <w:r w:rsidRPr="00AF0B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9575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F0B43" w:rsidP="00AF0B43"/>
    <w:sectPr w:rsidSect="00AF0B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43" w:rsidRPr="00F52E1D" w:rsidP="00F52E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1D" w:rsidP="00AF0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2E1D" w:rsidP="00AF0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2E1D" w:rsidP="00AF0B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B43" w:rsidRPr="00F52E1D" w:rsidP="00F52E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E1D" w:rsidRPr="002D2AF8" w:rsidP="00AF0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UETDRSB008 Install high current d.c. equipment and switchgear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52E1D" w:rsidP="00AF0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88F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B424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B43"/>
  </w:style>
  <w:style w:type="character" w:customStyle="1" w:styleId="Heading1Char">
    <w:name w:val="Heading 1 Char"/>
    <w:basedOn w:val="DefaultParagraphFont"/>
    <w:link w:val="Heading1"/>
    <w:rsid w:val="00AF0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B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B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B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0B43"/>
    <w:rPr>
      <w:b/>
      <w:spacing w:val="0"/>
    </w:rPr>
  </w:style>
  <w:style w:type="character" w:styleId="Emphasis">
    <w:name w:val="Emphasis"/>
    <w:basedOn w:val="DefaultParagraphFont"/>
    <w:qFormat/>
    <w:rsid w:val="00AF0B43"/>
    <w:rPr>
      <w:i/>
    </w:rPr>
  </w:style>
  <w:style w:type="paragraph" w:customStyle="1" w:styleId="SuperHeading">
    <w:name w:val="SuperHeading"/>
    <w:basedOn w:val="Normal"/>
    <w:rsid w:val="00AF0B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0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B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B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B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B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B43"/>
  </w:style>
  <w:style w:type="paragraph" w:styleId="TableofFigures">
    <w:name w:val="table of figures"/>
    <w:basedOn w:val="Normal"/>
    <w:next w:val="Normal"/>
    <w:semiHidden/>
    <w:rsid w:val="00AF0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B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B43"/>
    <w:rPr>
      <w:rFonts w:ascii="Wingdings" w:hAnsi="Wingdings"/>
    </w:rPr>
  </w:style>
  <w:style w:type="paragraph" w:customStyle="1" w:styleId="TableHeading">
    <w:name w:val="Table Heading"/>
    <w:basedOn w:val="HeadingBase"/>
    <w:rsid w:val="00AF0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B43"/>
    <w:rPr>
      <w:color w:val="0033CC"/>
      <w:u w:val="none"/>
    </w:rPr>
  </w:style>
  <w:style w:type="paragraph" w:customStyle="1" w:styleId="BodyTextRight">
    <w:name w:val="Body Text Right"/>
    <w:basedOn w:val="BodyText"/>
    <w:rsid w:val="00AF0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B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B43"/>
    <w:rPr>
      <w:sz w:val="32"/>
    </w:rPr>
  </w:style>
  <w:style w:type="paragraph" w:customStyle="1" w:styleId="HeadingProcedure">
    <w:name w:val="Heading Procedure"/>
    <w:basedOn w:val="HeadingBase"/>
    <w:next w:val="Normal"/>
    <w:rsid w:val="00AF0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B43"/>
    <w:pPr>
      <w:spacing w:before="60" w:after="60"/>
    </w:pPr>
  </w:style>
  <w:style w:type="paragraph" w:styleId="ListContinue">
    <w:name w:val="List Continue"/>
    <w:basedOn w:val="List"/>
    <w:rsid w:val="00AF0B43"/>
    <w:pPr>
      <w:ind w:firstLine="0"/>
    </w:pPr>
  </w:style>
  <w:style w:type="paragraph" w:customStyle="1" w:styleId="ListNote">
    <w:name w:val="List Note"/>
    <w:basedOn w:val="List"/>
    <w:rsid w:val="00AF0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B43"/>
    <w:rPr>
      <w:rFonts w:ascii="Courier New" w:hAnsi="Courier New"/>
    </w:rPr>
  </w:style>
  <w:style w:type="paragraph" w:customStyle="1" w:styleId="NoteBullet">
    <w:name w:val="Note Bullet"/>
    <w:basedOn w:val="Note"/>
    <w:rsid w:val="00AF0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B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B43"/>
    <w:rPr>
      <w:b/>
      <w:smallCaps/>
    </w:rPr>
  </w:style>
  <w:style w:type="paragraph" w:customStyle="1" w:styleId="TableListNumber">
    <w:name w:val="Table List Number"/>
    <w:basedOn w:val="ListNumber"/>
    <w:rsid w:val="00AF0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B43"/>
    <w:pPr>
      <w:numPr>
        <w:numId w:val="8"/>
      </w:numPr>
    </w:pPr>
  </w:style>
  <w:style w:type="paragraph" w:customStyle="1" w:styleId="ListAlpha2">
    <w:name w:val="List Alpha 2"/>
    <w:basedOn w:val="List2"/>
    <w:rsid w:val="00AF0B43"/>
    <w:pPr>
      <w:numPr>
        <w:numId w:val="7"/>
      </w:numPr>
    </w:pPr>
  </w:style>
  <w:style w:type="paragraph" w:styleId="List2">
    <w:name w:val="List 2"/>
    <w:basedOn w:val="BodyText"/>
    <w:rsid w:val="00AF0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B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B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B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B43"/>
    <w:pPr>
      <w:numPr>
        <w:numId w:val="3"/>
      </w:numPr>
    </w:pPr>
  </w:style>
  <w:style w:type="paragraph" w:styleId="ListContinue2">
    <w:name w:val="List Continue 2"/>
    <w:basedOn w:val="List2"/>
    <w:rsid w:val="00AF0B43"/>
    <w:pPr>
      <w:ind w:firstLine="0"/>
    </w:pPr>
  </w:style>
  <w:style w:type="paragraph" w:styleId="ListContinue3">
    <w:name w:val="List Continue 3"/>
    <w:basedOn w:val="List3"/>
    <w:rsid w:val="00AF0B43"/>
    <w:pPr>
      <w:ind w:left="1021" w:firstLine="0"/>
    </w:pPr>
  </w:style>
  <w:style w:type="paragraph" w:styleId="ListContinue4">
    <w:name w:val="List Continue 4"/>
    <w:basedOn w:val="List4"/>
    <w:rsid w:val="00AF0B43"/>
    <w:pPr>
      <w:ind w:firstLine="0"/>
    </w:pPr>
  </w:style>
  <w:style w:type="paragraph" w:styleId="ListContinue5">
    <w:name w:val="List Continue 5"/>
    <w:basedOn w:val="List5"/>
    <w:rsid w:val="00AF0B43"/>
    <w:pPr>
      <w:ind w:firstLine="0"/>
    </w:pPr>
  </w:style>
  <w:style w:type="paragraph" w:styleId="ListNumber3">
    <w:name w:val="List Number 3"/>
    <w:basedOn w:val="List3"/>
    <w:rsid w:val="00AF0B43"/>
    <w:pPr>
      <w:numPr>
        <w:numId w:val="4"/>
      </w:numPr>
    </w:pPr>
  </w:style>
  <w:style w:type="paragraph" w:styleId="ListNumber4">
    <w:name w:val="List Number 4"/>
    <w:basedOn w:val="List4"/>
    <w:rsid w:val="00AF0B43"/>
    <w:pPr>
      <w:numPr>
        <w:numId w:val="5"/>
      </w:numPr>
    </w:pPr>
  </w:style>
  <w:style w:type="paragraph" w:styleId="ListNumber5">
    <w:name w:val="List Number 5"/>
    <w:basedOn w:val="List5"/>
    <w:rsid w:val="00AF0B43"/>
    <w:pPr>
      <w:numPr>
        <w:numId w:val="6"/>
      </w:numPr>
    </w:pPr>
  </w:style>
  <w:style w:type="paragraph" w:styleId="BlockText">
    <w:name w:val="Block Text"/>
    <w:basedOn w:val="Normal"/>
    <w:rsid w:val="00AF0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B43"/>
    <w:rPr>
      <w:sz w:val="16"/>
      <w:vertAlign w:val="superscript"/>
    </w:rPr>
  </w:style>
  <w:style w:type="character" w:customStyle="1" w:styleId="Symbols">
    <w:name w:val="Symbols"/>
    <w:basedOn w:val="DefaultParagraphFont"/>
    <w:rsid w:val="00AF0B43"/>
    <w:rPr>
      <w:rFonts w:ascii="Symbol" w:hAnsi="Symbol"/>
    </w:rPr>
  </w:style>
  <w:style w:type="character" w:customStyle="1" w:styleId="MenuOptions">
    <w:name w:val="Menu Options"/>
    <w:basedOn w:val="DefaultParagraphFont"/>
    <w:rsid w:val="00AF0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B43"/>
    <w:rPr>
      <w:b/>
    </w:rPr>
  </w:style>
  <w:style w:type="character" w:customStyle="1" w:styleId="Underlined">
    <w:name w:val="Underlined"/>
    <w:basedOn w:val="DefaultParagraphFont"/>
    <w:rsid w:val="00AF0B43"/>
    <w:rPr>
      <w:u w:val="single"/>
    </w:rPr>
  </w:style>
  <w:style w:type="paragraph" w:customStyle="1" w:styleId="TableBodyTextRight">
    <w:name w:val="Table Body Text Right"/>
    <w:basedOn w:val="TableBodyText"/>
    <w:rsid w:val="00AF0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B43"/>
    <w:rPr>
      <w:sz w:val="18"/>
    </w:rPr>
  </w:style>
  <w:style w:type="paragraph" w:customStyle="1" w:styleId="BodySmallRight">
    <w:name w:val="Body Small Right"/>
    <w:basedOn w:val="BodyTextRight"/>
    <w:rsid w:val="00AF0B43"/>
    <w:rPr>
      <w:sz w:val="18"/>
      <w:szCs w:val="18"/>
    </w:rPr>
  </w:style>
  <w:style w:type="paragraph" w:customStyle="1" w:styleId="MarginEdition">
    <w:name w:val="Margin Edition"/>
    <w:basedOn w:val="MarginNote"/>
    <w:rsid w:val="00AF0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B43"/>
    <w:rPr>
      <w:sz w:val="2"/>
      <w:szCs w:val="2"/>
    </w:rPr>
  </w:style>
  <w:style w:type="character" w:customStyle="1" w:styleId="Small">
    <w:name w:val="Small"/>
    <w:basedOn w:val="DefaultParagraphFont"/>
    <w:rsid w:val="00AF0B43"/>
    <w:rPr>
      <w:sz w:val="16"/>
    </w:rPr>
  </w:style>
  <w:style w:type="paragraph" w:customStyle="1" w:styleId="WideTable">
    <w:name w:val="Wide Table"/>
    <w:basedOn w:val="Normal"/>
    <w:rsid w:val="00AF0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B43"/>
  </w:style>
  <w:style w:type="paragraph" w:styleId="Quote">
    <w:name w:val="Quote"/>
    <w:basedOn w:val="Heading1"/>
    <w:link w:val="QuoteChar"/>
    <w:qFormat/>
    <w:rsid w:val="00AF0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B43"/>
    <w:pPr>
      <w:pageBreakBefore/>
    </w:pPr>
  </w:style>
  <w:style w:type="paragraph" w:customStyle="1" w:styleId="Border">
    <w:name w:val="Border"/>
    <w:basedOn w:val="Normal"/>
    <w:qFormat/>
    <w:rsid w:val="00AF0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B43"/>
    <w:rPr>
      <w:u w:val="single"/>
    </w:rPr>
  </w:style>
  <w:style w:type="character" w:customStyle="1" w:styleId="BoldandItalics">
    <w:name w:val="Bold and Italics"/>
    <w:qFormat/>
    <w:rsid w:val="00AF0B43"/>
    <w:rPr>
      <w:b/>
      <w:i/>
      <w:u w:val="none"/>
    </w:rPr>
  </w:style>
  <w:style w:type="paragraph" w:styleId="BalloonText">
    <w:name w:val="Balloon Text"/>
    <w:basedOn w:val="Normal"/>
    <w:link w:val="BalloonTextChar"/>
    <w:rsid w:val="00AF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B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B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B43"/>
    <w:pPr>
      <w:spacing w:before="0" w:after="0"/>
    </w:pPr>
  </w:style>
  <w:style w:type="paragraph" w:customStyle="1" w:styleId="BodyTextBold">
    <w:name w:val="Body Text Bold"/>
    <w:basedOn w:val="BodyText"/>
    <w:qFormat/>
    <w:rsid w:val="00AF0B43"/>
    <w:rPr>
      <w:b/>
    </w:rPr>
  </w:style>
  <w:style w:type="character" w:styleId="Hyperlink">
    <w:name w:val="Hyperlink"/>
    <w:basedOn w:val="DefaultParagraphFont"/>
    <w:uiPriority w:val="99"/>
    <w:unhideWhenUsed/>
    <w:rsid w:val="00F52E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4524</Characters>
  <Application>Microsoft Office Word</Application>
  <DocSecurity>0</DocSecurity>
  <Lines>196</Lines>
  <Paragraphs>100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UETDRSB008 Install high current d.c. equipment and switchgear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