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A15" w:rsidP="00872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UETDRSB005 Diagnose and resolve faults in a substation environment</w:t>
      </w:r>
      <w:r>
        <w:fldChar w:fldCharType="end"/>
      </w:r>
    </w:p>
    <w:p w:rsidR="00872A15" w:rsidP="00872A15">
      <w:pPr>
        <w:pStyle w:val="Version"/>
        <w:sectPr w:rsidSect="00673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C9F" w:rsidP="00673C9F">
      <w:pPr>
        <w:pStyle w:val="SuperHeading"/>
      </w:pPr>
      <w:r w:rsidRPr="00673C9F">
        <w:t>Assessment Requirements for UETDRSB005 Diagnose and resolve faults in a substation environment</w:t>
      </w:r>
    </w:p>
    <w:p w:rsidR="00000000" w:rsidRPr="00673C9F" w:rsidP="00673C9F">
      <w:pPr>
        <w:pStyle w:val="Heading1"/>
      </w:pPr>
      <w:bookmarkStart w:id="1" w:name="O_1237240"/>
      <w:bookmarkEnd w:id="1"/>
      <w:r w:rsidRPr="00673C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C9F" w:rsidP="00673C9F">
            <w:pPr>
              <w:pStyle w:val="BodyText"/>
            </w:pPr>
            <w:r w:rsidRPr="00673C9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673C9F" w:rsidP="00673C9F">
      <w:pPr>
        <w:pStyle w:val="NoPaddingFontSize1"/>
      </w:pPr>
    </w:p>
    <w:p w:rsidR="00000000" w:rsidRPr="00673C9F" w:rsidP="00673C9F">
      <w:pPr>
        <w:pStyle w:val="AllowPageBreak"/>
      </w:pPr>
    </w:p>
    <w:p w:rsidR="00000000" w:rsidRPr="00673C9F" w:rsidP="00673C9F">
      <w:pPr>
        <w:pStyle w:val="Heading1"/>
      </w:pPr>
      <w:bookmarkStart w:id="2" w:name="O_1237241"/>
      <w:bookmarkEnd w:id="2"/>
      <w:r w:rsidRPr="00673C9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C9F">
            <w:pPr>
              <w:pStyle w:val="BodyText"/>
              <w:rPr>
                <w:lang w:val="en-NZ"/>
              </w:rPr>
            </w:pPr>
            <w:r w:rsidRPr="00673C9F">
              <w:t>Evidence required to demonstrate competence in this unit must be r</w:t>
            </w:r>
            <w:r w:rsidRPr="00673C9F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C9F" w:rsidP="00673C9F">
            <w:pPr>
              <w:pStyle w:val="ListBullet"/>
            </w:pPr>
            <w:r w:rsidRPr="00673C9F">
              <w:t>applying relevant legislation, regulations, standards, codes of practice and organisational workplace requiremen</w:t>
            </w:r>
            <w:r w:rsidRPr="00673C9F">
              <w:t>ts including:</w:t>
            </w:r>
          </w:p>
          <w:p w:rsidR="00000000" w:rsidRPr="00673C9F" w:rsidP="00673C9F">
            <w:pPr>
              <w:pStyle w:val="ListBullet2"/>
            </w:pPr>
            <w:r w:rsidRPr="00673C9F">
              <w:t>work health and safety (WHS)/occupational health and safety (OHS) requirements</w:t>
            </w:r>
          </w:p>
          <w:p w:rsidR="00000000" w:rsidRPr="00673C9F" w:rsidP="00673C9F">
            <w:pPr>
              <w:pStyle w:val="ListBullet"/>
            </w:pPr>
            <w:r w:rsidRPr="00673C9F">
              <w:t>identifying hazards, assessing risks, and identifying, applying and monitoring control measures</w:t>
            </w:r>
          </w:p>
          <w:p w:rsidR="00000000" w:rsidRPr="00673C9F" w:rsidP="00673C9F">
            <w:pPr>
              <w:pStyle w:val="ListBullet"/>
            </w:pPr>
            <w:r w:rsidRPr="00673C9F">
              <w:t>obtaining, inspecting and using relevant personal protective equipment (PPE)</w:t>
            </w:r>
          </w:p>
          <w:p w:rsidR="00000000" w:rsidRPr="00673C9F" w:rsidP="00673C9F">
            <w:pPr>
              <w:pStyle w:val="ListBullet"/>
            </w:pPr>
            <w:r w:rsidRPr="00673C9F">
              <w:t>dealing with an unplanned event on at least one (1) occasion</w:t>
            </w:r>
          </w:p>
          <w:p w:rsidR="00000000" w:rsidRPr="00673C9F" w:rsidP="00673C9F">
            <w:pPr>
              <w:pStyle w:val="ListBullet"/>
            </w:pPr>
            <w:r w:rsidRPr="00673C9F">
              <w:t>obtaining and signing on and off relevant work permits in accordance with workplace requirements</w:t>
            </w:r>
          </w:p>
          <w:p w:rsidR="00000000" w:rsidRPr="00673C9F" w:rsidP="00673C9F">
            <w:pPr>
              <w:pStyle w:val="ListBullet"/>
            </w:pPr>
            <w:r w:rsidRPr="00673C9F">
              <w:t>completing relevant w</w:t>
            </w:r>
            <w:r w:rsidRPr="00673C9F">
              <w:t>ork records, reports and documentation</w:t>
            </w:r>
          </w:p>
          <w:p w:rsidR="00000000" w:rsidRPr="00673C9F" w:rsidP="00673C9F">
            <w:pPr>
              <w:pStyle w:val="ListBullet"/>
            </w:pPr>
            <w:r w:rsidRPr="00673C9F">
              <w:t>interpreting alarms and indicators, using existing technology</w:t>
            </w:r>
          </w:p>
          <w:p w:rsidR="00000000" w:rsidRPr="00673C9F" w:rsidP="00673C9F">
            <w:pPr>
              <w:pStyle w:val="ListBullet"/>
            </w:pPr>
            <w:r w:rsidRPr="00673C9F">
              <w:t>diagnosing and resolving faults on at least two (2) of the following: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high voltage (HV) circuit breaker control system 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transformer control system </w:t>
            </w:r>
          </w:p>
          <w:p w:rsidR="00000000" w:rsidRPr="00673C9F" w:rsidP="00673C9F">
            <w:pPr>
              <w:pStyle w:val="ListBullet2"/>
            </w:pPr>
            <w:r w:rsidRPr="00673C9F">
              <w:t>direct</w:t>
            </w:r>
            <w:r w:rsidRPr="00673C9F">
              <w:t xml:space="preserve"> current (d.c.) supply system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d.c. switchgear and equipment </w:t>
            </w:r>
          </w:p>
          <w:p w:rsidR="00000000" w:rsidRPr="00673C9F" w:rsidP="00673C9F">
            <w:pPr>
              <w:pStyle w:val="ListBullet2"/>
            </w:pPr>
            <w:r w:rsidRPr="00673C9F">
              <w:t>communication equipment</w:t>
            </w:r>
          </w:p>
          <w:p w:rsidR="00000000" w:rsidRPr="00673C9F" w:rsidP="00673C9F">
            <w:pPr>
              <w:pStyle w:val="ListBullet"/>
            </w:pPr>
            <w:r w:rsidRPr="00673C9F">
              <w:t>diagnosing faults using at least three (3) of the following testers:</w:t>
            </w:r>
          </w:p>
          <w:p w:rsidR="00000000" w:rsidRPr="00673C9F" w:rsidP="00673C9F">
            <w:pPr>
              <w:pStyle w:val="ListBullet2"/>
            </w:pPr>
            <w:r w:rsidRPr="00673C9F">
              <w:t>multi meters</w:t>
            </w:r>
          </w:p>
          <w:p w:rsidR="00000000" w:rsidRPr="00673C9F" w:rsidP="00673C9F">
            <w:pPr>
              <w:pStyle w:val="ListBullet2"/>
            </w:pPr>
            <w:r w:rsidRPr="00673C9F">
              <w:t>tong testers</w:t>
            </w:r>
          </w:p>
          <w:p w:rsidR="00000000" w:rsidRPr="00673C9F" w:rsidP="00673C9F">
            <w:pPr>
              <w:pStyle w:val="ListBullet2"/>
            </w:pPr>
            <w:r w:rsidRPr="00673C9F">
              <w:t>insulation resistance/continuity tester</w:t>
            </w:r>
          </w:p>
          <w:p w:rsidR="00000000" w:rsidRPr="00673C9F" w:rsidP="00673C9F">
            <w:pPr>
              <w:pStyle w:val="ListBullet2"/>
            </w:pPr>
            <w:r w:rsidRPr="00673C9F">
              <w:t>low resistance high current tester</w:t>
            </w:r>
          </w:p>
          <w:p w:rsidR="00000000" w:rsidRPr="00673C9F" w:rsidP="00673C9F">
            <w:pPr>
              <w:pStyle w:val="ListBullet2"/>
            </w:pPr>
            <w:r w:rsidRPr="00673C9F">
              <w:t>overload injection tester</w:t>
            </w:r>
          </w:p>
          <w:p w:rsidR="00000000" w:rsidRPr="00673C9F" w:rsidP="00673C9F">
            <w:pPr>
              <w:pStyle w:val="ListBullet2"/>
            </w:pPr>
            <w:r w:rsidRPr="00673C9F">
              <w:t>specialist test equipment.</w:t>
            </w:r>
          </w:p>
        </w:tc>
      </w:tr>
    </w:tbl>
    <w:p w:rsidR="00000000" w:rsidRPr="00673C9F" w:rsidP="00673C9F">
      <w:pPr>
        <w:pStyle w:val="NoPaddingFontSize1"/>
      </w:pPr>
    </w:p>
    <w:p w:rsidR="00000000" w:rsidRPr="00673C9F" w:rsidP="00673C9F">
      <w:pPr>
        <w:pStyle w:val="AllowPageBreak"/>
      </w:pPr>
    </w:p>
    <w:p w:rsidR="00000000" w:rsidRPr="00673C9F" w:rsidP="00673C9F">
      <w:pPr>
        <w:pStyle w:val="Heading1"/>
      </w:pPr>
      <w:bookmarkStart w:id="3" w:name="O_1237242"/>
      <w:bookmarkEnd w:id="3"/>
      <w:r w:rsidRPr="00673C9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C9F">
            <w:pPr>
              <w:pStyle w:val="BodyText"/>
              <w:rPr>
                <w:lang w:val="en-NZ"/>
              </w:rPr>
            </w:pPr>
            <w:r w:rsidRPr="00673C9F">
              <w:t>Evidence required to demonstrate competence in this unit must be relevant to and satisfy all the requirements of the elements and performance criteria and include</w:t>
            </w:r>
            <w:r w:rsidRPr="00673C9F">
              <w:t xml:space="preserve"> knowledge of:</w:t>
            </w:r>
          </w:p>
        </w:tc>
      </w:tr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C9F" w:rsidP="00673C9F">
            <w:pPr>
              <w:pStyle w:val="ListBullet"/>
            </w:pPr>
            <w:r w:rsidRPr="00673C9F">
              <w:t xml:space="preserve">relevant legislation, regulations, standards, codes of practice and organisational workplace requirements including WHS/OHS requirements </w:t>
            </w:r>
          </w:p>
          <w:p w:rsidR="00000000" w:rsidRPr="00673C9F" w:rsidP="00673C9F">
            <w:pPr>
              <w:pStyle w:val="ListBullet"/>
            </w:pPr>
            <w:r w:rsidRPr="00673C9F">
              <w:t>hazard, risk assessment and risk control requirements, including potential hazards</w:t>
            </w:r>
          </w:p>
          <w:p w:rsidR="00000000" w:rsidRPr="00673C9F" w:rsidP="00673C9F">
            <w:pPr>
              <w:pStyle w:val="ListBullet"/>
            </w:pPr>
            <w:r w:rsidRPr="00673C9F">
              <w:t>types and application of PPE</w:t>
            </w:r>
          </w:p>
          <w:p w:rsidR="00000000" w:rsidRPr="00673C9F" w:rsidP="00673C9F">
            <w:pPr>
              <w:pStyle w:val="ListBullet"/>
            </w:pPr>
            <w:r w:rsidRPr="00673C9F">
              <w:t>safe use of plant, tools and equipment</w:t>
            </w:r>
          </w:p>
          <w:p w:rsidR="00000000" w:rsidRPr="00673C9F" w:rsidP="00673C9F">
            <w:pPr>
              <w:pStyle w:val="ListBullet"/>
            </w:pPr>
            <w:r w:rsidRPr="00673C9F">
              <w:t>application, purpose and types of permits and access authorities</w:t>
            </w:r>
          </w:p>
          <w:p w:rsidR="00000000" w:rsidRPr="00673C9F" w:rsidP="00673C9F">
            <w:pPr>
              <w:pStyle w:val="ListBullet"/>
            </w:pPr>
            <w:r w:rsidRPr="00673C9F">
              <w:t>events constituting an unplanned event or incident</w:t>
            </w:r>
          </w:p>
          <w:p w:rsidR="00000000" w:rsidRPr="00673C9F" w:rsidP="00673C9F">
            <w:pPr>
              <w:pStyle w:val="ListBullet"/>
            </w:pPr>
            <w:r w:rsidRPr="00673C9F">
              <w:t>procedures for responding to an unplanned event or incident</w:t>
            </w:r>
          </w:p>
          <w:p w:rsidR="00000000" w:rsidRPr="00673C9F" w:rsidP="00673C9F">
            <w:pPr>
              <w:pStyle w:val="ListBullet"/>
            </w:pPr>
            <w:r w:rsidRPr="00673C9F">
              <w:t>evaluation o</w:t>
            </w:r>
            <w:r w:rsidRPr="00673C9F">
              <w:t xml:space="preserve">f equipment serviceability  </w:t>
            </w:r>
          </w:p>
          <w:p w:rsidR="00000000" w:rsidRPr="00673C9F" w:rsidP="00673C9F">
            <w:pPr>
              <w:pStyle w:val="ListBullet"/>
            </w:pPr>
            <w:r w:rsidRPr="00673C9F">
              <w:t>low voltage (LV) and HV isolation procedures</w:t>
            </w:r>
          </w:p>
          <w:p w:rsidR="00000000" w:rsidRPr="00673C9F" w:rsidP="00673C9F">
            <w:pPr>
              <w:pStyle w:val="ListBullet"/>
            </w:pPr>
            <w:r w:rsidRPr="00673C9F">
              <w:t>interpretation of different system switching diagrams and drawings</w:t>
            </w:r>
          </w:p>
          <w:p w:rsidR="00000000" w:rsidRPr="00673C9F" w:rsidP="00673C9F">
            <w:pPr>
              <w:pStyle w:val="ListBullet"/>
            </w:pPr>
            <w:r w:rsidRPr="00673C9F">
              <w:t xml:space="preserve">identification and procurement of materials and apparatus </w:t>
            </w:r>
          </w:p>
          <w:p w:rsidR="00000000" w:rsidRPr="00673C9F" w:rsidP="00673C9F">
            <w:pPr>
              <w:pStyle w:val="ListBullet"/>
            </w:pPr>
            <w:r w:rsidRPr="00673C9F">
              <w:t>testing equipment, including:</w:t>
            </w:r>
          </w:p>
          <w:p w:rsidR="00000000" w:rsidRPr="00673C9F" w:rsidP="00673C9F">
            <w:pPr>
              <w:pStyle w:val="ListBullet2"/>
            </w:pPr>
            <w:r w:rsidRPr="00673C9F">
              <w:t>voltage detection devices</w:t>
            </w:r>
          </w:p>
          <w:p w:rsidR="00000000" w:rsidRPr="00673C9F" w:rsidP="00673C9F">
            <w:pPr>
              <w:pStyle w:val="ListBullet2"/>
            </w:pPr>
            <w:r w:rsidRPr="00673C9F">
              <w:t>multi meters</w:t>
            </w:r>
          </w:p>
          <w:p w:rsidR="00000000" w:rsidRPr="00673C9F" w:rsidP="00673C9F">
            <w:pPr>
              <w:pStyle w:val="ListBullet2"/>
            </w:pPr>
            <w:r w:rsidRPr="00673C9F">
              <w:t>tong testers</w:t>
            </w:r>
          </w:p>
          <w:p w:rsidR="00000000" w:rsidRPr="00673C9F" w:rsidP="00673C9F">
            <w:pPr>
              <w:pStyle w:val="ListBullet2"/>
            </w:pPr>
            <w:r w:rsidRPr="00673C9F">
              <w:t>insulation resistance/continuity testers</w:t>
            </w:r>
          </w:p>
          <w:p w:rsidR="00000000" w:rsidRPr="00673C9F" w:rsidP="00673C9F">
            <w:pPr>
              <w:pStyle w:val="ListBullet2"/>
            </w:pPr>
            <w:r w:rsidRPr="00673C9F">
              <w:t>low resistance high current testers</w:t>
            </w:r>
          </w:p>
          <w:p w:rsidR="00000000" w:rsidRPr="00673C9F" w:rsidP="00673C9F">
            <w:pPr>
              <w:pStyle w:val="ListBullet2"/>
            </w:pPr>
            <w:r w:rsidRPr="00673C9F">
              <w:t>overload injection testers</w:t>
            </w:r>
          </w:p>
          <w:p w:rsidR="00000000" w:rsidRPr="00673C9F" w:rsidP="00673C9F">
            <w:pPr>
              <w:pStyle w:val="ListBullet2"/>
            </w:pPr>
            <w:r w:rsidRPr="00673C9F">
              <w:t>specialist testing equipment</w:t>
            </w:r>
          </w:p>
          <w:p w:rsidR="00000000" w:rsidRPr="00673C9F" w:rsidP="00673C9F">
            <w:pPr>
              <w:pStyle w:val="ListBullet2"/>
            </w:pPr>
            <w:r w:rsidRPr="00673C9F">
              <w:t>temperature sensors</w:t>
            </w:r>
          </w:p>
          <w:p w:rsidR="00000000" w:rsidRPr="00673C9F" w:rsidP="00673C9F">
            <w:pPr>
              <w:pStyle w:val="ListBullet"/>
            </w:pPr>
            <w:r w:rsidRPr="00673C9F">
              <w:t>interpretation of alarms and indicators from control and protection systems, and diagnosis of faults in: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HV circuit breaker control system 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power and instrument transformer control system </w:t>
            </w:r>
          </w:p>
          <w:p w:rsidR="00000000" w:rsidRPr="00673C9F" w:rsidP="00673C9F">
            <w:pPr>
              <w:pStyle w:val="ListBullet2"/>
            </w:pPr>
            <w:r w:rsidRPr="00673C9F">
              <w:t>busbars and feeders</w:t>
            </w:r>
          </w:p>
          <w:p w:rsidR="00000000" w:rsidRPr="00673C9F" w:rsidP="00673C9F">
            <w:pPr>
              <w:pStyle w:val="ListBullet2"/>
            </w:pPr>
            <w:r w:rsidRPr="00673C9F">
              <w:t>reactive plant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d.c. switchgear and equipment </w:t>
            </w:r>
          </w:p>
          <w:p w:rsidR="00000000" w:rsidRPr="00673C9F" w:rsidP="00673C9F">
            <w:pPr>
              <w:pStyle w:val="ListBullet2"/>
            </w:pPr>
            <w:r w:rsidRPr="00673C9F">
              <w:t>d.c. supply system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communication equipment </w:t>
            </w:r>
          </w:p>
          <w:p w:rsidR="00000000" w:rsidRPr="00673C9F" w:rsidP="00673C9F">
            <w:pPr>
              <w:pStyle w:val="ListBullet"/>
            </w:pPr>
            <w:r w:rsidRPr="00673C9F">
              <w:t>fault conditions and symptoms, including: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types and typical fault conditions 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interpretation of mechanical faults 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interpretation of electrical faults </w:t>
            </w:r>
          </w:p>
          <w:p w:rsidR="00000000" w:rsidRPr="00673C9F" w:rsidP="00673C9F">
            <w:pPr>
              <w:pStyle w:val="ListBullet2"/>
            </w:pPr>
            <w:r w:rsidRPr="00673C9F">
              <w:t>auxiliary systems</w:t>
            </w:r>
          </w:p>
          <w:p w:rsidR="00000000" w:rsidRPr="00673C9F" w:rsidP="00673C9F">
            <w:pPr>
              <w:pStyle w:val="ListBullet2"/>
            </w:pPr>
            <w:r w:rsidRPr="00673C9F">
              <w:t>protection and alarm systems</w:t>
            </w:r>
          </w:p>
          <w:p w:rsidR="00000000" w:rsidRPr="00673C9F" w:rsidP="00673C9F">
            <w:pPr>
              <w:pStyle w:val="ListBullet"/>
            </w:pPr>
            <w:r w:rsidRPr="00673C9F">
              <w:t>substation equipment, components and materials, including: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control and protection equipment </w:t>
            </w:r>
          </w:p>
          <w:p w:rsidR="00000000" w:rsidRPr="00673C9F" w:rsidP="00673C9F">
            <w:pPr>
              <w:pStyle w:val="ListBullet2"/>
            </w:pPr>
            <w:r w:rsidRPr="00673C9F">
              <w:t>remote and local operating principles and conventions</w:t>
            </w:r>
          </w:p>
          <w:p w:rsidR="00000000" w:rsidRPr="00673C9F" w:rsidP="00673C9F">
            <w:pPr>
              <w:pStyle w:val="ListBullet2"/>
            </w:pPr>
            <w:r w:rsidRPr="00673C9F">
              <w:t>serviceability and control systems</w:t>
            </w:r>
          </w:p>
          <w:p w:rsidR="00000000" w:rsidRPr="00673C9F" w:rsidP="00673C9F">
            <w:pPr>
              <w:pStyle w:val="ListBullet2"/>
            </w:pPr>
            <w:r w:rsidRPr="00673C9F">
              <w:t>replacements</w:t>
            </w:r>
          </w:p>
          <w:p w:rsidR="00000000" w:rsidRPr="00673C9F" w:rsidP="00673C9F">
            <w:pPr>
              <w:pStyle w:val="ListBullet2"/>
            </w:pPr>
            <w:r w:rsidRPr="00673C9F">
              <w:t>indication of levels, quantities, volumes, pressures and tem</w:t>
            </w:r>
            <w:r w:rsidRPr="00673C9F">
              <w:t>peratures</w:t>
            </w:r>
          </w:p>
          <w:p w:rsidR="00000000" w:rsidRPr="00673C9F" w:rsidP="00673C9F">
            <w:pPr>
              <w:pStyle w:val="ListBullet2"/>
            </w:pPr>
            <w:r w:rsidRPr="00673C9F">
              <w:t xml:space="preserve">types of materials, including insulation, construction, fabrication and lubrication </w:t>
            </w:r>
          </w:p>
          <w:p w:rsidR="00000000" w:rsidRPr="00673C9F" w:rsidP="00673C9F">
            <w:pPr>
              <w:pStyle w:val="ListBullet2"/>
            </w:pPr>
            <w:r w:rsidRPr="00673C9F">
              <w:t>hazardous materials.</w:t>
            </w:r>
          </w:p>
        </w:tc>
      </w:tr>
    </w:tbl>
    <w:p w:rsidR="00000000" w:rsidRPr="00673C9F" w:rsidP="00673C9F">
      <w:pPr>
        <w:pStyle w:val="NoPaddingFontSize1"/>
      </w:pPr>
    </w:p>
    <w:p w:rsidR="00000000" w:rsidRPr="00673C9F" w:rsidP="00673C9F">
      <w:pPr>
        <w:pStyle w:val="AllowPageBreak"/>
      </w:pPr>
    </w:p>
    <w:p w:rsidR="00000000" w:rsidRPr="00673C9F" w:rsidP="00673C9F">
      <w:pPr>
        <w:pStyle w:val="Heading1"/>
      </w:pPr>
      <w:bookmarkStart w:id="4" w:name="O_1237243"/>
      <w:bookmarkEnd w:id="4"/>
      <w:r w:rsidRPr="00673C9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73C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C9F" w:rsidP="00673C9F">
            <w:pPr>
              <w:pStyle w:val="BodyText"/>
            </w:pPr>
            <w:r w:rsidRPr="00673C9F">
              <w:t>Assessors must hold credentials specified within the Standards for Registered Training Organisations current at the time of assessment.</w:t>
            </w:r>
          </w:p>
          <w:p w:rsidR="00000000" w:rsidRPr="00673C9F" w:rsidP="00673C9F">
            <w:pPr>
              <w:pStyle w:val="BodyText"/>
            </w:pPr>
            <w:r w:rsidRPr="00673C9F">
              <w:t>Assessment must satisfy the Principles of Assessment and Rules of Evidence and all regulatory requirements included with</w:t>
            </w:r>
            <w:r w:rsidRPr="00673C9F">
              <w:t>in the Standards for Registered Training Organisations current at the time of assessment.</w:t>
            </w:r>
          </w:p>
          <w:p w:rsidR="00000000" w:rsidRPr="00673C9F" w:rsidP="00673C9F">
            <w:pPr>
              <w:pStyle w:val="BodyText"/>
            </w:pPr>
            <w:r w:rsidRPr="00673C9F">
              <w:t>Assessment must occur in workplace operational situations, where it is appropriate to do so.</w:t>
            </w:r>
          </w:p>
          <w:p w:rsidR="00000000" w:rsidRPr="00673C9F" w:rsidP="00673C9F">
            <w:pPr>
              <w:pStyle w:val="BodyText"/>
            </w:pPr>
            <w:r w:rsidRPr="00673C9F">
              <w:t>Where this is not appropriate, assessment must occur in simulated conditi</w:t>
            </w:r>
            <w:r w:rsidRPr="00673C9F">
              <w:t>ons involving realistic and authentic activities that replicate operational workplace conditions.</w:t>
            </w:r>
          </w:p>
          <w:p w:rsidR="00000000" w:rsidRPr="00673C9F" w:rsidP="00673C9F">
            <w:pPr>
              <w:pStyle w:val="BodyText"/>
            </w:pPr>
            <w:r w:rsidRPr="00673C9F">
              <w:t>Assessment processes and techniques must be appropriate to the language, literacy and numeracy requirements of the work being performed and the needs of the c</w:t>
            </w:r>
            <w:r w:rsidRPr="00673C9F">
              <w:t>andidate.</w:t>
            </w:r>
          </w:p>
          <w:p w:rsidR="00000000" w:rsidRPr="00673C9F" w:rsidP="00673C9F">
            <w:pPr>
              <w:pStyle w:val="BodyText"/>
            </w:pPr>
            <w:r w:rsidRPr="00673C9F">
              <w:t>Resources for assessment must include access to:</w:t>
            </w:r>
          </w:p>
          <w:p w:rsidR="00000000" w:rsidRPr="00673C9F" w:rsidP="00673C9F">
            <w:pPr>
              <w:pStyle w:val="ListBullet"/>
            </w:pPr>
            <w:r w:rsidRPr="00673C9F">
              <w:t>relevant and appropriate materials, tools, equipment and PPE currently used in industry</w:t>
            </w:r>
          </w:p>
          <w:p w:rsidR="00000000" w:rsidRPr="00673C9F" w:rsidP="00673C9F">
            <w:pPr>
              <w:pStyle w:val="ListBullet"/>
            </w:pPr>
            <w:r w:rsidRPr="00673C9F">
              <w:t xml:space="preserve">applicable documentation, including workplace requirements, equipment specifications, regulations, codes of </w:t>
            </w:r>
            <w:r w:rsidRPr="00673C9F">
              <w:t>practice and operation manuals.</w:t>
            </w:r>
          </w:p>
        </w:tc>
      </w:tr>
    </w:tbl>
    <w:p w:rsidR="00000000" w:rsidRPr="00673C9F" w:rsidP="00673C9F">
      <w:pPr>
        <w:pStyle w:val="NoPaddingFontSize1"/>
      </w:pPr>
    </w:p>
    <w:p w:rsidR="00000000" w:rsidRPr="00673C9F" w:rsidP="00673C9F">
      <w:pPr>
        <w:pStyle w:val="AllowPageBreak"/>
      </w:pPr>
    </w:p>
    <w:p w:rsidR="00000000" w:rsidRPr="00673C9F" w:rsidP="00673C9F">
      <w:pPr>
        <w:pStyle w:val="Heading1"/>
      </w:pPr>
      <w:bookmarkStart w:id="5" w:name="O_1237246"/>
      <w:bookmarkEnd w:id="5"/>
      <w:r w:rsidRPr="00673C9F">
        <w:t>Links</w:t>
      </w:r>
    </w:p>
    <w:p w:rsidR="00000000" w:rsidRPr="00673C9F" w:rsidP="00872A15">
      <w:pPr>
        <w:pStyle w:val="BodyText"/>
      </w:pPr>
      <w:r w:rsidRPr="00673C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E0D5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73C9F" w:rsidP="00673C9F"/>
    <w:sectPr w:rsidSect="00673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9F" w:rsidRPr="00872A15" w:rsidP="00872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15" w:rsidP="00673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A15" w:rsidP="00673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2A15" w:rsidP="00673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C9F" w:rsidRPr="00872A15" w:rsidP="00872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A15" w:rsidRPr="002D2AF8" w:rsidP="00673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UETDRSB005 Diagnose and resolve faults in a substation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872A15" w:rsidP="00673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CEA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E87A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47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C9F"/>
  </w:style>
  <w:style w:type="character" w:customStyle="1" w:styleId="Heading1Char">
    <w:name w:val="Heading 1 Char"/>
    <w:basedOn w:val="DefaultParagraphFont"/>
    <w:link w:val="Heading1"/>
    <w:rsid w:val="00673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3C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3C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3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73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3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3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3C9F"/>
    <w:rPr>
      <w:b/>
      <w:spacing w:val="0"/>
    </w:rPr>
  </w:style>
  <w:style w:type="paragraph" w:customStyle="1" w:styleId="SuperTitle">
    <w:name w:val="SuperTitle"/>
    <w:basedOn w:val="Title"/>
    <w:rsid w:val="00673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3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3C9F"/>
    <w:rPr>
      <w:i/>
    </w:rPr>
  </w:style>
  <w:style w:type="paragraph" w:styleId="Caption">
    <w:name w:val="caption"/>
    <w:basedOn w:val="BodyText"/>
    <w:next w:val="Normal"/>
    <w:qFormat/>
    <w:rsid w:val="00673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C9F"/>
  </w:style>
  <w:style w:type="paragraph" w:styleId="TableofFigures">
    <w:name w:val="table of figures"/>
    <w:basedOn w:val="Normal"/>
    <w:next w:val="Normal"/>
    <w:semiHidden/>
    <w:rsid w:val="00673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3C9F"/>
    <w:rPr>
      <w:rFonts w:ascii="Wingdings" w:hAnsi="Wingdings"/>
    </w:rPr>
  </w:style>
  <w:style w:type="paragraph" w:customStyle="1" w:styleId="TableHeading">
    <w:name w:val="Table Heading"/>
    <w:basedOn w:val="HeadingBase"/>
    <w:rsid w:val="00673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C9F"/>
    <w:rPr>
      <w:color w:val="0033CC"/>
      <w:u w:val="none"/>
    </w:rPr>
  </w:style>
  <w:style w:type="paragraph" w:customStyle="1" w:styleId="BodyTextRight">
    <w:name w:val="Body Text Right"/>
    <w:basedOn w:val="BodyText"/>
    <w:rsid w:val="00673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C9F"/>
    <w:rPr>
      <w:sz w:val="32"/>
    </w:rPr>
  </w:style>
  <w:style w:type="paragraph" w:customStyle="1" w:styleId="HeadingProcedure">
    <w:name w:val="Heading Procedure"/>
    <w:basedOn w:val="HeadingBase"/>
    <w:next w:val="Normal"/>
    <w:rsid w:val="00673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C9F"/>
    <w:pPr>
      <w:spacing w:before="60" w:after="60"/>
    </w:pPr>
  </w:style>
  <w:style w:type="paragraph" w:styleId="ListContinue">
    <w:name w:val="List Continue"/>
    <w:basedOn w:val="List"/>
    <w:rsid w:val="00673C9F"/>
    <w:pPr>
      <w:ind w:firstLine="0"/>
    </w:pPr>
  </w:style>
  <w:style w:type="paragraph" w:customStyle="1" w:styleId="ListNote">
    <w:name w:val="List Note"/>
    <w:basedOn w:val="List"/>
    <w:rsid w:val="00673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C9F"/>
    <w:rPr>
      <w:rFonts w:ascii="Courier New" w:hAnsi="Courier New"/>
    </w:rPr>
  </w:style>
  <w:style w:type="paragraph" w:customStyle="1" w:styleId="NoteBullet">
    <w:name w:val="Note Bullet"/>
    <w:basedOn w:val="Note"/>
    <w:rsid w:val="00673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3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C9F"/>
    <w:rPr>
      <w:b/>
      <w:smallCaps/>
    </w:rPr>
  </w:style>
  <w:style w:type="paragraph" w:customStyle="1" w:styleId="TableListNumber">
    <w:name w:val="Table List Number"/>
    <w:basedOn w:val="ListNumber"/>
    <w:rsid w:val="00673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C9F"/>
    <w:pPr>
      <w:numPr>
        <w:numId w:val="9"/>
      </w:numPr>
    </w:pPr>
  </w:style>
  <w:style w:type="paragraph" w:customStyle="1" w:styleId="ListAlpha2">
    <w:name w:val="List Alpha 2"/>
    <w:basedOn w:val="List2"/>
    <w:rsid w:val="00673C9F"/>
    <w:pPr>
      <w:numPr>
        <w:numId w:val="8"/>
      </w:numPr>
    </w:pPr>
  </w:style>
  <w:style w:type="paragraph" w:styleId="List2">
    <w:name w:val="List 2"/>
    <w:basedOn w:val="BodyText"/>
    <w:rsid w:val="00673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3C9F"/>
    <w:pPr>
      <w:numPr>
        <w:numId w:val="4"/>
      </w:numPr>
    </w:pPr>
  </w:style>
  <w:style w:type="paragraph" w:styleId="ListContinue2">
    <w:name w:val="List Continue 2"/>
    <w:basedOn w:val="List2"/>
    <w:rsid w:val="00673C9F"/>
    <w:pPr>
      <w:ind w:firstLine="0"/>
    </w:pPr>
  </w:style>
  <w:style w:type="paragraph" w:styleId="ListContinue3">
    <w:name w:val="List Continue 3"/>
    <w:basedOn w:val="List3"/>
    <w:rsid w:val="00673C9F"/>
    <w:pPr>
      <w:ind w:left="1021" w:firstLine="0"/>
    </w:pPr>
  </w:style>
  <w:style w:type="paragraph" w:styleId="ListContinue4">
    <w:name w:val="List Continue 4"/>
    <w:basedOn w:val="List4"/>
    <w:rsid w:val="00673C9F"/>
    <w:pPr>
      <w:ind w:firstLine="0"/>
    </w:pPr>
  </w:style>
  <w:style w:type="paragraph" w:styleId="ListContinue5">
    <w:name w:val="List Continue 5"/>
    <w:basedOn w:val="List5"/>
    <w:rsid w:val="00673C9F"/>
    <w:pPr>
      <w:ind w:firstLine="0"/>
    </w:pPr>
  </w:style>
  <w:style w:type="paragraph" w:styleId="ListNumber3">
    <w:name w:val="List Number 3"/>
    <w:basedOn w:val="List3"/>
    <w:rsid w:val="00673C9F"/>
    <w:pPr>
      <w:numPr>
        <w:numId w:val="5"/>
      </w:numPr>
    </w:pPr>
  </w:style>
  <w:style w:type="paragraph" w:styleId="ListNumber4">
    <w:name w:val="List Number 4"/>
    <w:basedOn w:val="List4"/>
    <w:rsid w:val="00673C9F"/>
    <w:pPr>
      <w:numPr>
        <w:numId w:val="6"/>
      </w:numPr>
    </w:pPr>
  </w:style>
  <w:style w:type="paragraph" w:styleId="ListNumber5">
    <w:name w:val="List Number 5"/>
    <w:basedOn w:val="List5"/>
    <w:rsid w:val="00673C9F"/>
    <w:pPr>
      <w:numPr>
        <w:numId w:val="7"/>
      </w:numPr>
    </w:pPr>
  </w:style>
  <w:style w:type="paragraph" w:styleId="BlockText">
    <w:name w:val="Block Text"/>
    <w:basedOn w:val="Normal"/>
    <w:rsid w:val="00673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C9F"/>
    <w:rPr>
      <w:sz w:val="16"/>
      <w:vertAlign w:val="superscript"/>
    </w:rPr>
  </w:style>
  <w:style w:type="character" w:customStyle="1" w:styleId="Symbols">
    <w:name w:val="Symbols"/>
    <w:basedOn w:val="DefaultParagraphFont"/>
    <w:rsid w:val="00673C9F"/>
    <w:rPr>
      <w:rFonts w:ascii="Symbol" w:hAnsi="Symbol"/>
    </w:rPr>
  </w:style>
  <w:style w:type="character" w:customStyle="1" w:styleId="MenuOptions">
    <w:name w:val="Menu Options"/>
    <w:basedOn w:val="DefaultParagraphFont"/>
    <w:rsid w:val="00673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C9F"/>
    <w:rPr>
      <w:b/>
    </w:rPr>
  </w:style>
  <w:style w:type="character" w:customStyle="1" w:styleId="Underlined">
    <w:name w:val="Underlined"/>
    <w:basedOn w:val="DefaultParagraphFont"/>
    <w:rsid w:val="00673C9F"/>
    <w:rPr>
      <w:u w:val="single"/>
    </w:rPr>
  </w:style>
  <w:style w:type="paragraph" w:customStyle="1" w:styleId="TableBodyTextRight">
    <w:name w:val="Table Body Text Right"/>
    <w:basedOn w:val="TableBodyText"/>
    <w:rsid w:val="00673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C9F"/>
    <w:rPr>
      <w:sz w:val="18"/>
    </w:rPr>
  </w:style>
  <w:style w:type="paragraph" w:customStyle="1" w:styleId="BodySmallRight">
    <w:name w:val="Body Small Right"/>
    <w:basedOn w:val="BodyTextRight"/>
    <w:rsid w:val="00673C9F"/>
    <w:rPr>
      <w:sz w:val="18"/>
      <w:szCs w:val="18"/>
    </w:rPr>
  </w:style>
  <w:style w:type="paragraph" w:customStyle="1" w:styleId="MarginEdition">
    <w:name w:val="Margin Edition"/>
    <w:basedOn w:val="MarginNote"/>
    <w:rsid w:val="00673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C9F"/>
    <w:rPr>
      <w:sz w:val="2"/>
      <w:szCs w:val="2"/>
    </w:rPr>
  </w:style>
  <w:style w:type="character" w:customStyle="1" w:styleId="Small">
    <w:name w:val="Small"/>
    <w:basedOn w:val="DefaultParagraphFont"/>
    <w:rsid w:val="00673C9F"/>
    <w:rPr>
      <w:sz w:val="16"/>
    </w:rPr>
  </w:style>
  <w:style w:type="paragraph" w:customStyle="1" w:styleId="WideTable">
    <w:name w:val="Wide Table"/>
    <w:basedOn w:val="Normal"/>
    <w:rsid w:val="00673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C9F"/>
  </w:style>
  <w:style w:type="paragraph" w:styleId="Quote">
    <w:name w:val="Quote"/>
    <w:basedOn w:val="Heading1"/>
    <w:link w:val="QuoteChar"/>
    <w:qFormat/>
    <w:rsid w:val="00673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C9F"/>
    <w:pPr>
      <w:pageBreakBefore/>
    </w:pPr>
  </w:style>
  <w:style w:type="paragraph" w:customStyle="1" w:styleId="Border">
    <w:name w:val="Border"/>
    <w:basedOn w:val="Normal"/>
    <w:qFormat/>
    <w:rsid w:val="00673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C9F"/>
    <w:rPr>
      <w:u w:val="single"/>
    </w:rPr>
  </w:style>
  <w:style w:type="character" w:customStyle="1" w:styleId="BoldandItalics">
    <w:name w:val="Bold and Italics"/>
    <w:qFormat/>
    <w:rsid w:val="00673C9F"/>
    <w:rPr>
      <w:b/>
      <w:i/>
      <w:u w:val="none"/>
    </w:rPr>
  </w:style>
  <w:style w:type="paragraph" w:styleId="BalloonText">
    <w:name w:val="Balloon Text"/>
    <w:basedOn w:val="Normal"/>
    <w:link w:val="BalloonTextChar"/>
    <w:rsid w:val="00673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C9F"/>
    <w:pPr>
      <w:spacing w:before="0" w:after="0"/>
    </w:pPr>
  </w:style>
  <w:style w:type="paragraph" w:customStyle="1" w:styleId="BodyTextBold">
    <w:name w:val="Body Text Bold"/>
    <w:basedOn w:val="BodyText"/>
    <w:qFormat/>
    <w:rsid w:val="00673C9F"/>
    <w:rPr>
      <w:b/>
    </w:rPr>
  </w:style>
  <w:style w:type="character" w:styleId="Hyperlink">
    <w:name w:val="Hyperlink"/>
    <w:basedOn w:val="DefaultParagraphFont"/>
    <w:uiPriority w:val="99"/>
    <w:unhideWhenUsed/>
    <w:rsid w:val="00872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4461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UETDRSB005 Diagnose and resolve faults in a substation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