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D37" w:rsidP="008C7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UETDRRT013 Perform rail traction switching operations to a given schedule</w:t>
      </w:r>
      <w:r>
        <w:fldChar w:fldCharType="end"/>
      </w:r>
    </w:p>
    <w:p w:rsidR="008C7D37" w:rsidP="008C7D37">
      <w:pPr>
        <w:pStyle w:val="Version"/>
        <w:sectPr w:rsidSect="00621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DE2" w:rsidP="00621DE2">
      <w:pPr>
        <w:pStyle w:val="SuperHeading"/>
      </w:pPr>
      <w:r w:rsidRPr="00621DE2">
        <w:t>Assessment Requirements for UETDRRT013 Perform rail traction switching operations to a given schedule</w:t>
      </w:r>
    </w:p>
    <w:p w:rsidR="00000000" w:rsidRPr="00621DE2" w:rsidP="00621DE2">
      <w:pPr>
        <w:pStyle w:val="Heading1"/>
      </w:pPr>
      <w:bookmarkStart w:id="1" w:name="O_1180020"/>
      <w:bookmarkEnd w:id="1"/>
      <w:r w:rsidRPr="00621D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D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DE2" w:rsidP="00621DE2">
            <w:pPr>
              <w:pStyle w:val="BodyText"/>
            </w:pPr>
            <w:r w:rsidRPr="00621DE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21DE2" w:rsidP="00621DE2">
      <w:pPr>
        <w:pStyle w:val="NoPaddingFontSize1"/>
      </w:pPr>
    </w:p>
    <w:p w:rsidR="00000000" w:rsidRPr="00621DE2" w:rsidP="00621DE2">
      <w:pPr>
        <w:pStyle w:val="AllowPageBreak"/>
      </w:pPr>
    </w:p>
    <w:p w:rsidR="00000000" w:rsidRPr="00621DE2" w:rsidP="00621DE2">
      <w:pPr>
        <w:pStyle w:val="Heading1"/>
      </w:pPr>
      <w:bookmarkStart w:id="2" w:name="O_1180021"/>
      <w:bookmarkEnd w:id="2"/>
      <w:r w:rsidRPr="00621D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D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DE2">
            <w:pPr>
              <w:pStyle w:val="BodyText"/>
              <w:rPr>
                <w:lang w:val="en-NZ"/>
              </w:rPr>
            </w:pPr>
            <w:r w:rsidRPr="00621DE2">
              <w:t>Evidence required to demonstrate competence in this unit must be r</w:t>
            </w:r>
            <w:r w:rsidRPr="00621DE2">
              <w:t xml:space="preserve">elevant to and satisfy all of the requirements of the elements and performance criteria on at least two separate occasions and include:  </w:t>
            </w:r>
          </w:p>
        </w:tc>
      </w:tr>
      <w:tr w:rsidTr="00621D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DE2" w:rsidP="00621DE2">
            <w:pPr>
              <w:pStyle w:val="ListBullet"/>
            </w:pPr>
            <w:r w:rsidRPr="00621DE2">
              <w:t xml:space="preserve">applying relevant legislation, regulations, standards, codes of practice and organisational workplace requirements, </w:t>
            </w:r>
            <w:r w:rsidRPr="00621DE2">
              <w:t>including:</w:t>
            </w:r>
          </w:p>
          <w:p w:rsidR="00000000" w:rsidRPr="00621DE2" w:rsidP="00621DE2">
            <w:pPr>
              <w:pStyle w:val="ListBullet2"/>
            </w:pPr>
            <w:r w:rsidRPr="00621DE2">
              <w:t>work health and safety (WHS)/occupational health and safety (OHS)</w:t>
            </w:r>
          </w:p>
          <w:p w:rsidR="00000000" w:rsidRPr="00621DE2" w:rsidP="00621DE2">
            <w:pPr>
              <w:pStyle w:val="ListBullet"/>
            </w:pPr>
            <w:r w:rsidRPr="00621DE2">
              <w:t xml:space="preserve">identifying hazards, assessing risks, identifying, applying and monitoring control measures </w:t>
            </w:r>
          </w:p>
          <w:p w:rsidR="00000000" w:rsidRPr="00621DE2" w:rsidP="00621DE2">
            <w:pPr>
              <w:pStyle w:val="ListBullet"/>
            </w:pPr>
            <w:r w:rsidRPr="00621DE2">
              <w:t>obtaining, inspecting and using relevant personal protective equipment (PPE)</w:t>
            </w:r>
          </w:p>
          <w:p w:rsidR="00000000" w:rsidRPr="00621DE2" w:rsidP="00621DE2">
            <w:pPr>
              <w:pStyle w:val="ListBullet"/>
            </w:pPr>
            <w:r w:rsidRPr="00621DE2">
              <w:t>using and verifying switching scheduling documents</w:t>
            </w:r>
          </w:p>
          <w:p w:rsidR="00000000" w:rsidRPr="00621DE2" w:rsidP="00621DE2">
            <w:pPr>
              <w:pStyle w:val="ListBullet"/>
            </w:pPr>
            <w:r w:rsidRPr="00621DE2">
              <w:t>using appropriate communication with the following:</w:t>
            </w:r>
          </w:p>
          <w:p w:rsidR="00000000" w:rsidRPr="00621DE2" w:rsidP="00621DE2">
            <w:pPr>
              <w:pStyle w:val="ListBullet2"/>
            </w:pPr>
            <w:r w:rsidRPr="00621DE2">
              <w:t>electrical control officer</w:t>
            </w:r>
          </w:p>
          <w:p w:rsidR="00000000" w:rsidRPr="00621DE2" w:rsidP="00621DE2">
            <w:pPr>
              <w:pStyle w:val="ListBullet2"/>
            </w:pPr>
            <w:r w:rsidRPr="00621DE2">
              <w:t>permit holders</w:t>
            </w:r>
          </w:p>
          <w:p w:rsidR="00000000" w:rsidRPr="00621DE2" w:rsidP="00621DE2">
            <w:pPr>
              <w:pStyle w:val="ListBullet2"/>
            </w:pPr>
            <w:r w:rsidRPr="00621DE2">
              <w:t>other network stakeholders</w:t>
            </w:r>
          </w:p>
          <w:p w:rsidR="00000000" w:rsidRPr="00621DE2" w:rsidP="00621DE2">
            <w:pPr>
              <w:pStyle w:val="ListBullet"/>
            </w:pPr>
            <w:r w:rsidRPr="00621DE2">
              <w:t>performing at least one (1) of the following types of rail traction switching oper</w:t>
            </w:r>
            <w:r w:rsidRPr="00621DE2">
              <w:t>ations to a given schedule:</w:t>
            </w:r>
          </w:p>
          <w:p w:rsidR="00000000" w:rsidRPr="00621DE2" w:rsidP="00621DE2">
            <w:pPr>
              <w:pStyle w:val="ListBullet2"/>
            </w:pPr>
            <w:r w:rsidRPr="00621DE2">
              <w:t>high voltage (HV)/low voltage (LV) circuit breakers</w:t>
            </w:r>
          </w:p>
          <w:p w:rsidR="00000000" w:rsidRPr="00621DE2" w:rsidP="00621DE2">
            <w:pPr>
              <w:pStyle w:val="ListBullet2"/>
            </w:pPr>
            <w:r w:rsidRPr="00621DE2">
              <w:t>HV/LV switches</w:t>
            </w:r>
          </w:p>
          <w:p w:rsidR="00000000" w:rsidRPr="00621DE2" w:rsidP="00621DE2">
            <w:pPr>
              <w:pStyle w:val="ListBullet2"/>
            </w:pPr>
            <w:r w:rsidRPr="00621DE2">
              <w:t>HV/LV isolators</w:t>
            </w:r>
          </w:p>
          <w:p w:rsidR="00000000" w:rsidRPr="00621DE2" w:rsidP="00621DE2">
            <w:pPr>
              <w:pStyle w:val="ListBullet2"/>
            </w:pPr>
            <w:r w:rsidRPr="00621DE2">
              <w:t>HV/LV links</w:t>
            </w:r>
          </w:p>
          <w:p w:rsidR="00000000" w:rsidRPr="00621DE2" w:rsidP="00621DE2">
            <w:pPr>
              <w:pStyle w:val="ListBullet2"/>
            </w:pPr>
            <w:r w:rsidRPr="00621DE2">
              <w:t>HV/LV bridges</w:t>
            </w:r>
          </w:p>
          <w:p w:rsidR="00000000" w:rsidRPr="00621DE2" w:rsidP="00621DE2">
            <w:pPr>
              <w:pStyle w:val="ListBullet2"/>
            </w:pPr>
            <w:r w:rsidRPr="00621DE2">
              <w:t>HV/LV fuses</w:t>
            </w:r>
          </w:p>
          <w:p w:rsidR="00000000" w:rsidRPr="00621DE2" w:rsidP="00621DE2">
            <w:pPr>
              <w:pStyle w:val="ListBullet"/>
            </w:pPr>
            <w:r w:rsidRPr="00621DE2">
              <w:t xml:space="preserve">using at least one (1) of the following types of testing equipment whilst performing </w:t>
            </w:r>
            <w:r w:rsidRPr="00621DE2">
              <w:t>overhead traction switching:</w:t>
            </w:r>
          </w:p>
          <w:p w:rsidR="00000000" w:rsidRPr="00621DE2" w:rsidP="00621DE2">
            <w:pPr>
              <w:pStyle w:val="ListBullet2"/>
            </w:pPr>
            <w:r w:rsidRPr="00621DE2">
              <w:t>voltage detectors</w:t>
            </w:r>
          </w:p>
          <w:p w:rsidR="00000000" w:rsidRPr="00621DE2" w:rsidP="00621DE2">
            <w:pPr>
              <w:pStyle w:val="ListBullet2"/>
            </w:pPr>
            <w:r w:rsidRPr="00621DE2">
              <w:t>field intensity meter</w:t>
            </w:r>
          </w:p>
          <w:p w:rsidR="00000000" w:rsidRPr="00621DE2" w:rsidP="00621DE2">
            <w:pPr>
              <w:pStyle w:val="ListBullet2"/>
            </w:pPr>
            <w:r w:rsidRPr="00621DE2">
              <w:t>polarity testers</w:t>
            </w:r>
          </w:p>
          <w:p w:rsidR="00000000" w:rsidRPr="00621DE2" w:rsidP="00621DE2">
            <w:pPr>
              <w:pStyle w:val="ListBullet2"/>
            </w:pPr>
            <w:r w:rsidRPr="00621DE2">
              <w:t>phase rotation indicators</w:t>
            </w:r>
          </w:p>
          <w:p w:rsidR="00000000" w:rsidRPr="00621DE2" w:rsidP="00621DE2">
            <w:pPr>
              <w:pStyle w:val="ListBullet"/>
            </w:pPr>
            <w:r w:rsidRPr="00621DE2">
              <w:t>using all of the following:</w:t>
            </w:r>
          </w:p>
          <w:p w:rsidR="00000000" w:rsidRPr="00621DE2" w:rsidP="00621DE2">
            <w:pPr>
              <w:pStyle w:val="ListBullet2"/>
            </w:pPr>
            <w:r w:rsidRPr="00621DE2">
              <w:t>portable earthing/rail-connecting equipment</w:t>
            </w:r>
          </w:p>
          <w:p w:rsidR="00000000" w:rsidRPr="00621DE2" w:rsidP="00621DE2">
            <w:pPr>
              <w:pStyle w:val="ListBullet2"/>
            </w:pPr>
            <w:r w:rsidRPr="00621DE2">
              <w:t>operating rods/sticks</w:t>
            </w:r>
          </w:p>
          <w:p w:rsidR="00000000" w:rsidRPr="00621DE2" w:rsidP="00621DE2">
            <w:pPr>
              <w:pStyle w:val="ListBullet"/>
            </w:pPr>
            <w:r w:rsidRPr="00621DE2">
              <w:t>completing all of the following stages of elec</w:t>
            </w:r>
            <w:r w:rsidRPr="00621DE2">
              <w:t>trical permits:</w:t>
            </w:r>
          </w:p>
          <w:p w:rsidR="00000000" w:rsidRPr="00621DE2" w:rsidP="00621DE2">
            <w:pPr>
              <w:pStyle w:val="ListBullet2"/>
            </w:pPr>
            <w:r w:rsidRPr="00621DE2">
              <w:t>writing</w:t>
            </w:r>
          </w:p>
          <w:p w:rsidR="00000000" w:rsidRPr="00621DE2" w:rsidP="00621DE2">
            <w:pPr>
              <w:pStyle w:val="ListBullet2"/>
            </w:pPr>
            <w:r w:rsidRPr="00621DE2">
              <w:t>issuing</w:t>
            </w:r>
          </w:p>
          <w:p w:rsidR="00000000" w:rsidRPr="00621DE2" w:rsidP="00621DE2">
            <w:pPr>
              <w:pStyle w:val="ListBullet2"/>
            </w:pPr>
            <w:r w:rsidRPr="00621DE2">
              <w:t>cancelling or relinquishing</w:t>
            </w:r>
          </w:p>
          <w:p w:rsidR="00000000" w:rsidRPr="00621DE2" w:rsidP="00621DE2">
            <w:pPr>
              <w:pStyle w:val="ListBullet"/>
            </w:pPr>
            <w:r w:rsidRPr="00621DE2">
              <w:t>dealing with an unplanned event on at least one (1) occasion</w:t>
            </w:r>
          </w:p>
          <w:p w:rsidR="00000000" w:rsidRPr="00621DE2" w:rsidP="00621DE2">
            <w:pPr>
              <w:pStyle w:val="ListBullet"/>
            </w:pPr>
            <w:r w:rsidRPr="00621DE2">
              <w:t>completing relevant work records, reports and documentation.</w:t>
            </w:r>
          </w:p>
        </w:tc>
      </w:tr>
    </w:tbl>
    <w:p w:rsidR="00000000" w:rsidRPr="00621DE2" w:rsidP="00621DE2">
      <w:pPr>
        <w:pStyle w:val="NoPaddingFontSize1"/>
      </w:pPr>
    </w:p>
    <w:p w:rsidR="00000000" w:rsidRPr="00621DE2" w:rsidP="00621DE2">
      <w:pPr>
        <w:pStyle w:val="AllowPageBreak"/>
      </w:pPr>
    </w:p>
    <w:p w:rsidR="00000000" w:rsidRPr="00621DE2" w:rsidP="00621DE2">
      <w:pPr>
        <w:pStyle w:val="Heading1"/>
      </w:pPr>
      <w:bookmarkStart w:id="3" w:name="O_1180022"/>
      <w:bookmarkEnd w:id="3"/>
      <w:r w:rsidRPr="00621D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D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DE2">
            <w:pPr>
              <w:pStyle w:val="BodyText"/>
              <w:rPr>
                <w:lang w:val="en-NZ"/>
              </w:rPr>
            </w:pPr>
            <w:r w:rsidRPr="00621DE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21D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DE2" w:rsidP="00621DE2">
            <w:pPr>
              <w:pStyle w:val="ListBullet"/>
            </w:pPr>
            <w:r w:rsidRPr="00621DE2">
              <w:t>relevant legislation, regulations standards, codes of practice and organis</w:t>
            </w:r>
            <w:r w:rsidRPr="00621DE2">
              <w:t xml:space="preserve">ational workplace requirements, including: </w:t>
            </w:r>
          </w:p>
          <w:p w:rsidR="00000000" w:rsidRPr="00621DE2" w:rsidP="00621DE2">
            <w:pPr>
              <w:pStyle w:val="ListBullet2"/>
            </w:pPr>
            <w:r w:rsidRPr="00621DE2">
              <w:t>WHS/OHS</w:t>
            </w:r>
          </w:p>
          <w:p w:rsidR="00000000" w:rsidRPr="00621DE2" w:rsidP="00621DE2">
            <w:pPr>
              <w:pStyle w:val="ListBullet"/>
            </w:pPr>
            <w:r w:rsidRPr="00621DE2">
              <w:t>hazard, risk assessment and risk control requirements, including potential hazards</w:t>
            </w:r>
          </w:p>
          <w:p w:rsidR="00000000" w:rsidRPr="00621DE2" w:rsidP="00621DE2">
            <w:pPr>
              <w:pStyle w:val="ListBullet"/>
            </w:pPr>
            <w:r w:rsidRPr="00621DE2">
              <w:t>types and application of PPE</w:t>
            </w:r>
          </w:p>
          <w:p w:rsidR="00000000" w:rsidRPr="00621DE2" w:rsidP="00621DE2">
            <w:pPr>
              <w:pStyle w:val="ListBullet"/>
            </w:pPr>
            <w:r w:rsidRPr="00621DE2">
              <w:t xml:space="preserve">safe use of tools and equipment </w:t>
            </w:r>
          </w:p>
          <w:p w:rsidR="00000000" w:rsidRPr="00621DE2" w:rsidP="00621DE2">
            <w:pPr>
              <w:pStyle w:val="ListBullet"/>
            </w:pPr>
            <w:r w:rsidRPr="00621DE2">
              <w:t>standards, codes, legislation, supply authority regulations and workplace requirements applicable to:</w:t>
            </w:r>
          </w:p>
          <w:p w:rsidR="00000000" w:rsidRPr="00621DE2" w:rsidP="00621DE2">
            <w:pPr>
              <w:pStyle w:val="ListBullet2"/>
            </w:pPr>
            <w:r w:rsidRPr="00621DE2">
              <w:t>switching schedules</w:t>
            </w:r>
          </w:p>
          <w:p w:rsidR="00000000" w:rsidRPr="00621DE2" w:rsidP="00621DE2">
            <w:pPr>
              <w:pStyle w:val="ListBullet2"/>
            </w:pPr>
            <w:r w:rsidRPr="00621DE2">
              <w:t>electrical operating diagrams</w:t>
            </w:r>
          </w:p>
          <w:p w:rsidR="00000000" w:rsidRPr="00621DE2" w:rsidP="00621DE2">
            <w:pPr>
              <w:pStyle w:val="ListBullet2"/>
            </w:pPr>
            <w:r w:rsidRPr="00621DE2">
              <w:t>permits</w:t>
            </w:r>
          </w:p>
          <w:p w:rsidR="00000000" w:rsidRPr="00621DE2" w:rsidP="00621DE2">
            <w:pPr>
              <w:pStyle w:val="ListBullet2"/>
            </w:pPr>
            <w:r w:rsidRPr="00621DE2">
              <w:t>communication procedures</w:t>
            </w:r>
          </w:p>
          <w:p w:rsidR="00000000" w:rsidRPr="00621DE2" w:rsidP="00621DE2">
            <w:pPr>
              <w:pStyle w:val="ListBullet2"/>
            </w:pPr>
            <w:r w:rsidRPr="00621DE2">
              <w:t>PPE required for switching</w:t>
            </w:r>
          </w:p>
          <w:p w:rsidR="00000000" w:rsidRPr="00621DE2" w:rsidP="00621DE2">
            <w:pPr>
              <w:pStyle w:val="ListBullet2"/>
            </w:pPr>
            <w:r w:rsidRPr="00621DE2">
              <w:t>danger tag or lockout procedures</w:t>
            </w:r>
          </w:p>
          <w:p w:rsidR="00000000" w:rsidRPr="00621DE2" w:rsidP="00621DE2">
            <w:pPr>
              <w:pStyle w:val="ListBullet"/>
            </w:pPr>
            <w:r w:rsidRPr="00621DE2">
              <w:t xml:space="preserve">types of </w:t>
            </w:r>
            <w:r w:rsidRPr="00621DE2">
              <w:t>rail traction operation switches</w:t>
            </w:r>
          </w:p>
          <w:p w:rsidR="00000000" w:rsidRPr="00621DE2" w:rsidP="00621DE2">
            <w:pPr>
              <w:pStyle w:val="ListBullet"/>
            </w:pPr>
            <w:r w:rsidRPr="00621DE2">
              <w:t>types of testing equipment for overhead traction switching</w:t>
            </w:r>
          </w:p>
          <w:p w:rsidR="00000000" w:rsidRPr="00621DE2" w:rsidP="00621DE2">
            <w:pPr>
              <w:pStyle w:val="ListBullet"/>
            </w:pPr>
            <w:r w:rsidRPr="00621DE2">
              <w:t>portable earthing/rail-connecting equipment</w:t>
            </w:r>
          </w:p>
          <w:p w:rsidR="00000000" w:rsidRPr="00621DE2" w:rsidP="00621DE2">
            <w:pPr>
              <w:pStyle w:val="ListBullet"/>
            </w:pPr>
            <w:r w:rsidRPr="00621DE2">
              <w:t>operating rods/sticks</w:t>
            </w:r>
          </w:p>
          <w:p w:rsidR="00000000" w:rsidRPr="00621DE2" w:rsidP="00621DE2">
            <w:pPr>
              <w:pStyle w:val="ListBullet"/>
            </w:pPr>
            <w:r w:rsidRPr="00621DE2">
              <w:t>events constituting an unplanned event or incident</w:t>
            </w:r>
          </w:p>
          <w:p w:rsidR="00000000" w:rsidRPr="00621DE2" w:rsidP="00621DE2">
            <w:pPr>
              <w:pStyle w:val="ListBullet"/>
            </w:pPr>
            <w:r w:rsidRPr="00621DE2">
              <w:t>procedures for responding to an unplanned event or incident.</w:t>
            </w:r>
          </w:p>
        </w:tc>
      </w:tr>
    </w:tbl>
    <w:p w:rsidR="00000000" w:rsidRPr="00621DE2" w:rsidP="00621DE2">
      <w:pPr>
        <w:pStyle w:val="NoPaddingFontSize1"/>
      </w:pPr>
    </w:p>
    <w:p w:rsidR="00000000" w:rsidRPr="00621DE2" w:rsidP="00621DE2">
      <w:pPr>
        <w:pStyle w:val="AllowPageBreak"/>
      </w:pPr>
    </w:p>
    <w:p w:rsidR="00000000" w:rsidRPr="00621DE2" w:rsidP="00621DE2">
      <w:pPr>
        <w:pStyle w:val="Heading1"/>
      </w:pPr>
      <w:bookmarkStart w:id="4" w:name="O_1180023"/>
      <w:bookmarkEnd w:id="4"/>
      <w:r w:rsidRPr="00621D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D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DE2" w:rsidP="00621DE2">
            <w:pPr>
              <w:pStyle w:val="BodyText"/>
            </w:pPr>
            <w:r w:rsidRPr="00621DE2">
              <w:t>Assessors must hold credentials specified within the Standards for Registered Training Organisations current at the time of assessment.</w:t>
            </w:r>
          </w:p>
          <w:p w:rsidR="00000000" w:rsidRPr="00621DE2" w:rsidP="00621DE2">
            <w:pPr>
              <w:pStyle w:val="BodyText"/>
            </w:pPr>
            <w:r w:rsidRPr="00621DE2">
              <w:t xml:space="preserve">Assessment must </w:t>
            </w:r>
            <w:r w:rsidRPr="00621DE2">
              <w:t>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21DE2" w:rsidP="00621DE2">
            <w:pPr>
              <w:pStyle w:val="BodyText"/>
            </w:pPr>
            <w:r w:rsidRPr="00621DE2">
              <w:t>Assessment must occur in workplace operational situations, whe</w:t>
            </w:r>
            <w:r w:rsidRPr="00621DE2">
              <w:t>re it is appropriate to do so.</w:t>
            </w:r>
          </w:p>
          <w:p w:rsidR="00000000" w:rsidRPr="00621DE2" w:rsidP="00621DE2">
            <w:pPr>
              <w:pStyle w:val="BodyText"/>
            </w:pPr>
            <w:r w:rsidRPr="00621DE2">
              <w:t xml:space="preserve">Where this is not appropriate, assessment must occur in simulated conditions involving realistic </w:t>
            </w:r>
            <w:r w:rsidRPr="00621DE2">
              <w:t>and authentic activities that replicate operational workplace conditions.</w:t>
            </w:r>
          </w:p>
          <w:p w:rsidR="00000000" w:rsidRPr="00621DE2" w:rsidP="00621DE2">
            <w:pPr>
              <w:pStyle w:val="BodyText"/>
            </w:pPr>
            <w:r w:rsidRPr="00621DE2">
              <w:t>Assessment processes and techniques must be appropriat</w:t>
            </w:r>
            <w:r w:rsidRPr="00621DE2">
              <w:t>e to the language, literacy and numeracy requirements of the work being performed and the needs of the candidate.</w:t>
            </w:r>
          </w:p>
          <w:p w:rsidR="00000000" w:rsidRPr="00621DE2" w:rsidP="00621DE2">
            <w:pPr>
              <w:pStyle w:val="BodyText"/>
            </w:pPr>
            <w:r w:rsidRPr="00621DE2">
              <w:t>Resources for assessment must include access to:</w:t>
            </w:r>
          </w:p>
          <w:p w:rsidR="00000000" w:rsidRPr="00621DE2" w:rsidP="00621DE2">
            <w:pPr>
              <w:pStyle w:val="ListBullet"/>
            </w:pPr>
            <w:r w:rsidRPr="00621DE2">
              <w:t>relevant and appropriate materials, tools, facilities, equipment and PPE currently used in i</w:t>
            </w:r>
            <w:r w:rsidRPr="00621DE2">
              <w:t>ndustry for performing rail traction switching operations to a given schedule</w:t>
            </w:r>
          </w:p>
          <w:p w:rsidR="00000000" w:rsidRPr="00621DE2" w:rsidP="00621DE2">
            <w:pPr>
              <w:pStyle w:val="ListBullet"/>
            </w:pPr>
            <w:r w:rsidRPr="00621DE2">
              <w:t xml:space="preserve">applicable documentation, including workplace requirements, switching schedules, electrical operating diagrams, permits, equipment specifications, regulations, codes of practice </w:t>
            </w:r>
            <w:r w:rsidRPr="00621DE2">
              <w:t>and operation manuals.</w:t>
            </w:r>
          </w:p>
        </w:tc>
      </w:tr>
    </w:tbl>
    <w:p w:rsidR="00000000" w:rsidRPr="00621DE2" w:rsidP="00621DE2">
      <w:pPr>
        <w:pStyle w:val="NoPaddingFontSize1"/>
      </w:pPr>
    </w:p>
    <w:p w:rsidR="00000000" w:rsidRPr="00621DE2" w:rsidP="00621DE2">
      <w:pPr>
        <w:pStyle w:val="AllowPageBreak"/>
      </w:pPr>
    </w:p>
    <w:p w:rsidR="00000000" w:rsidRPr="00621DE2" w:rsidP="00621DE2">
      <w:pPr>
        <w:pStyle w:val="Heading1"/>
      </w:pPr>
      <w:bookmarkStart w:id="5" w:name="O_1180026"/>
      <w:bookmarkEnd w:id="5"/>
      <w:r w:rsidRPr="00621DE2">
        <w:t>Links</w:t>
      </w:r>
    </w:p>
    <w:p w:rsidR="00000000" w:rsidRPr="00621DE2" w:rsidP="008C7D37">
      <w:pPr>
        <w:pStyle w:val="BodyText"/>
      </w:pPr>
      <w:r w:rsidRPr="00621D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224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21DE2" w:rsidP="00621DE2"/>
    <w:sectPr w:rsidSect="00621D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E2" w:rsidRPr="008C7D37" w:rsidP="008C7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37" w:rsidP="00621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D37" w:rsidP="00621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7D37" w:rsidP="00621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DE2" w:rsidRPr="008C7D37" w:rsidP="008C7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37" w:rsidRPr="002D2AF8" w:rsidP="00621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UETDRRT013 Perform rail traction switching operations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C7D37" w:rsidP="00621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223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B23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AA3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DE2"/>
  </w:style>
  <w:style w:type="character" w:customStyle="1" w:styleId="Heading1Char">
    <w:name w:val="Heading 1 Char"/>
    <w:basedOn w:val="DefaultParagraphFont"/>
    <w:link w:val="Heading1"/>
    <w:rsid w:val="00621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D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1D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1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DE2"/>
    <w:rPr>
      <w:b/>
      <w:spacing w:val="0"/>
    </w:rPr>
  </w:style>
  <w:style w:type="paragraph" w:customStyle="1" w:styleId="SuperTitle">
    <w:name w:val="SuperTitle"/>
    <w:basedOn w:val="Title"/>
    <w:rsid w:val="00621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D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DE2"/>
    <w:rPr>
      <w:i/>
    </w:rPr>
  </w:style>
  <w:style w:type="paragraph" w:styleId="Caption">
    <w:name w:val="caption"/>
    <w:basedOn w:val="BodyText"/>
    <w:next w:val="Normal"/>
    <w:qFormat/>
    <w:rsid w:val="00621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DE2"/>
  </w:style>
  <w:style w:type="paragraph" w:styleId="TableofFigures">
    <w:name w:val="table of figures"/>
    <w:basedOn w:val="Normal"/>
    <w:next w:val="Normal"/>
    <w:semiHidden/>
    <w:rsid w:val="00621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D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DE2"/>
    <w:rPr>
      <w:rFonts w:ascii="Wingdings" w:hAnsi="Wingdings"/>
    </w:rPr>
  </w:style>
  <w:style w:type="paragraph" w:customStyle="1" w:styleId="TableHeading">
    <w:name w:val="Table Heading"/>
    <w:basedOn w:val="HeadingBase"/>
    <w:rsid w:val="00621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DE2"/>
    <w:rPr>
      <w:color w:val="0033CC"/>
      <w:u w:val="none"/>
    </w:rPr>
  </w:style>
  <w:style w:type="paragraph" w:customStyle="1" w:styleId="BodyTextRight">
    <w:name w:val="Body Text Right"/>
    <w:basedOn w:val="BodyText"/>
    <w:rsid w:val="00621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D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DE2"/>
    <w:rPr>
      <w:sz w:val="32"/>
    </w:rPr>
  </w:style>
  <w:style w:type="paragraph" w:customStyle="1" w:styleId="HeadingProcedure">
    <w:name w:val="Heading Procedure"/>
    <w:basedOn w:val="HeadingBase"/>
    <w:next w:val="Normal"/>
    <w:rsid w:val="00621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DE2"/>
    <w:pPr>
      <w:spacing w:before="60" w:after="60"/>
    </w:pPr>
  </w:style>
  <w:style w:type="paragraph" w:styleId="ListContinue">
    <w:name w:val="List Continue"/>
    <w:basedOn w:val="List"/>
    <w:rsid w:val="00621DE2"/>
    <w:pPr>
      <w:ind w:firstLine="0"/>
    </w:pPr>
  </w:style>
  <w:style w:type="paragraph" w:customStyle="1" w:styleId="ListNote">
    <w:name w:val="List Note"/>
    <w:basedOn w:val="List"/>
    <w:rsid w:val="00621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DE2"/>
    <w:rPr>
      <w:rFonts w:ascii="Courier New" w:hAnsi="Courier New"/>
    </w:rPr>
  </w:style>
  <w:style w:type="paragraph" w:customStyle="1" w:styleId="NoteBullet">
    <w:name w:val="Note Bullet"/>
    <w:basedOn w:val="Note"/>
    <w:rsid w:val="00621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D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DE2"/>
    <w:rPr>
      <w:b/>
      <w:smallCaps/>
    </w:rPr>
  </w:style>
  <w:style w:type="paragraph" w:customStyle="1" w:styleId="TableListNumber">
    <w:name w:val="Table List Number"/>
    <w:basedOn w:val="ListNumber"/>
    <w:rsid w:val="00621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DE2"/>
    <w:pPr>
      <w:numPr>
        <w:numId w:val="9"/>
      </w:numPr>
    </w:pPr>
  </w:style>
  <w:style w:type="paragraph" w:customStyle="1" w:styleId="ListAlpha2">
    <w:name w:val="List Alpha 2"/>
    <w:basedOn w:val="List2"/>
    <w:rsid w:val="00621DE2"/>
    <w:pPr>
      <w:numPr>
        <w:numId w:val="8"/>
      </w:numPr>
    </w:pPr>
  </w:style>
  <w:style w:type="paragraph" w:styleId="List2">
    <w:name w:val="List 2"/>
    <w:basedOn w:val="BodyText"/>
    <w:rsid w:val="00621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D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D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DE2"/>
    <w:pPr>
      <w:numPr>
        <w:numId w:val="4"/>
      </w:numPr>
    </w:pPr>
  </w:style>
  <w:style w:type="paragraph" w:styleId="ListContinue2">
    <w:name w:val="List Continue 2"/>
    <w:basedOn w:val="List2"/>
    <w:rsid w:val="00621DE2"/>
    <w:pPr>
      <w:ind w:firstLine="0"/>
    </w:pPr>
  </w:style>
  <w:style w:type="paragraph" w:styleId="ListContinue3">
    <w:name w:val="List Continue 3"/>
    <w:basedOn w:val="List3"/>
    <w:rsid w:val="00621DE2"/>
    <w:pPr>
      <w:ind w:left="1021" w:firstLine="0"/>
    </w:pPr>
  </w:style>
  <w:style w:type="paragraph" w:styleId="ListContinue4">
    <w:name w:val="List Continue 4"/>
    <w:basedOn w:val="List4"/>
    <w:rsid w:val="00621DE2"/>
    <w:pPr>
      <w:ind w:firstLine="0"/>
    </w:pPr>
  </w:style>
  <w:style w:type="paragraph" w:styleId="ListContinue5">
    <w:name w:val="List Continue 5"/>
    <w:basedOn w:val="List5"/>
    <w:rsid w:val="00621DE2"/>
    <w:pPr>
      <w:ind w:firstLine="0"/>
    </w:pPr>
  </w:style>
  <w:style w:type="paragraph" w:styleId="ListNumber3">
    <w:name w:val="List Number 3"/>
    <w:basedOn w:val="List3"/>
    <w:rsid w:val="00621DE2"/>
    <w:pPr>
      <w:numPr>
        <w:numId w:val="5"/>
      </w:numPr>
    </w:pPr>
  </w:style>
  <w:style w:type="paragraph" w:styleId="ListNumber4">
    <w:name w:val="List Number 4"/>
    <w:basedOn w:val="List4"/>
    <w:rsid w:val="00621DE2"/>
    <w:pPr>
      <w:numPr>
        <w:numId w:val="6"/>
      </w:numPr>
    </w:pPr>
  </w:style>
  <w:style w:type="paragraph" w:styleId="ListNumber5">
    <w:name w:val="List Number 5"/>
    <w:basedOn w:val="List5"/>
    <w:rsid w:val="00621DE2"/>
    <w:pPr>
      <w:numPr>
        <w:numId w:val="7"/>
      </w:numPr>
    </w:pPr>
  </w:style>
  <w:style w:type="paragraph" w:styleId="BlockText">
    <w:name w:val="Block Text"/>
    <w:basedOn w:val="Normal"/>
    <w:rsid w:val="00621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DE2"/>
    <w:rPr>
      <w:sz w:val="16"/>
      <w:vertAlign w:val="superscript"/>
    </w:rPr>
  </w:style>
  <w:style w:type="character" w:customStyle="1" w:styleId="Symbols">
    <w:name w:val="Symbols"/>
    <w:basedOn w:val="DefaultParagraphFont"/>
    <w:rsid w:val="00621DE2"/>
    <w:rPr>
      <w:rFonts w:ascii="Symbol" w:hAnsi="Symbol"/>
    </w:rPr>
  </w:style>
  <w:style w:type="character" w:customStyle="1" w:styleId="MenuOptions">
    <w:name w:val="Menu Options"/>
    <w:basedOn w:val="DefaultParagraphFont"/>
    <w:rsid w:val="00621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DE2"/>
    <w:rPr>
      <w:b/>
    </w:rPr>
  </w:style>
  <w:style w:type="character" w:customStyle="1" w:styleId="Underlined">
    <w:name w:val="Underlined"/>
    <w:basedOn w:val="DefaultParagraphFont"/>
    <w:rsid w:val="00621DE2"/>
    <w:rPr>
      <w:u w:val="single"/>
    </w:rPr>
  </w:style>
  <w:style w:type="paragraph" w:customStyle="1" w:styleId="TableBodyTextRight">
    <w:name w:val="Table Body Text Right"/>
    <w:basedOn w:val="TableBodyText"/>
    <w:rsid w:val="00621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DE2"/>
    <w:rPr>
      <w:sz w:val="18"/>
    </w:rPr>
  </w:style>
  <w:style w:type="paragraph" w:customStyle="1" w:styleId="BodySmallRight">
    <w:name w:val="Body Small Right"/>
    <w:basedOn w:val="BodyTextRight"/>
    <w:rsid w:val="00621DE2"/>
    <w:rPr>
      <w:sz w:val="18"/>
      <w:szCs w:val="18"/>
    </w:rPr>
  </w:style>
  <w:style w:type="paragraph" w:customStyle="1" w:styleId="MarginEdition">
    <w:name w:val="Margin Edition"/>
    <w:basedOn w:val="MarginNote"/>
    <w:rsid w:val="00621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DE2"/>
    <w:rPr>
      <w:sz w:val="2"/>
      <w:szCs w:val="2"/>
    </w:rPr>
  </w:style>
  <w:style w:type="character" w:customStyle="1" w:styleId="Small">
    <w:name w:val="Small"/>
    <w:basedOn w:val="DefaultParagraphFont"/>
    <w:rsid w:val="00621DE2"/>
    <w:rPr>
      <w:sz w:val="16"/>
    </w:rPr>
  </w:style>
  <w:style w:type="paragraph" w:customStyle="1" w:styleId="WideTable">
    <w:name w:val="Wide Table"/>
    <w:basedOn w:val="Normal"/>
    <w:rsid w:val="00621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DE2"/>
  </w:style>
  <w:style w:type="paragraph" w:styleId="Quote">
    <w:name w:val="Quote"/>
    <w:basedOn w:val="Heading1"/>
    <w:link w:val="QuoteChar"/>
    <w:qFormat/>
    <w:rsid w:val="00621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DE2"/>
    <w:pPr>
      <w:pageBreakBefore/>
    </w:pPr>
  </w:style>
  <w:style w:type="paragraph" w:customStyle="1" w:styleId="Border">
    <w:name w:val="Border"/>
    <w:basedOn w:val="Normal"/>
    <w:qFormat/>
    <w:rsid w:val="00621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DE2"/>
    <w:rPr>
      <w:u w:val="single"/>
    </w:rPr>
  </w:style>
  <w:style w:type="character" w:customStyle="1" w:styleId="BoldandItalics">
    <w:name w:val="Bold and Italics"/>
    <w:qFormat/>
    <w:rsid w:val="00621DE2"/>
    <w:rPr>
      <w:b/>
      <w:i/>
      <w:u w:val="none"/>
    </w:rPr>
  </w:style>
  <w:style w:type="paragraph" w:styleId="BalloonText">
    <w:name w:val="Balloon Text"/>
    <w:basedOn w:val="Normal"/>
    <w:link w:val="BalloonTextChar"/>
    <w:rsid w:val="00621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DE2"/>
    <w:pPr>
      <w:spacing w:before="0" w:after="0"/>
    </w:pPr>
  </w:style>
  <w:style w:type="paragraph" w:customStyle="1" w:styleId="BodyTextBold">
    <w:name w:val="Body Text Bold"/>
    <w:basedOn w:val="BodyText"/>
    <w:qFormat/>
    <w:rsid w:val="00621DE2"/>
    <w:rPr>
      <w:b/>
    </w:rPr>
  </w:style>
  <w:style w:type="character" w:styleId="Hyperlink">
    <w:name w:val="Hyperlink"/>
    <w:basedOn w:val="DefaultParagraphFont"/>
    <w:uiPriority w:val="99"/>
    <w:unhideWhenUsed/>
    <w:rsid w:val="008C7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3877</Characters>
  <Application>Microsoft Office Word</Application>
  <DocSecurity>0</DocSecurity>
  <Lines>102</Lines>
  <Paragraphs>79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UETDRRT013 Perform rail traction switching operations to a given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