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514" w:rsidP="00F20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UETDRRT012 Operate rail road height access plant near rail traction systems</w:t>
      </w:r>
      <w:r>
        <w:fldChar w:fldCharType="end"/>
      </w:r>
    </w:p>
    <w:p w:rsidR="00F20514" w:rsidP="00F20514">
      <w:pPr>
        <w:pStyle w:val="Version"/>
        <w:sectPr w:rsidSect="006C6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EEF" w:rsidP="006C6EEF">
      <w:pPr>
        <w:pStyle w:val="SuperHeading"/>
      </w:pPr>
      <w:r w:rsidRPr="006C6EEF">
        <w:t>UETDRRT012 Operate rail road height access plant near rail traction systems</w:t>
      </w:r>
    </w:p>
    <w:p w:rsidR="00000000" w:rsidRPr="006C6EEF" w:rsidP="006C6EEF">
      <w:pPr>
        <w:pStyle w:val="Heading1"/>
      </w:pPr>
      <w:bookmarkStart w:id="1" w:name="O_1179991"/>
      <w:bookmarkEnd w:id="1"/>
      <w:r w:rsidRPr="006C6E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2" w:name="O_1179992"/>
      <w:bookmarkEnd w:id="2"/>
      <w:r w:rsidRPr="006C6E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This unit involves the skills and knowledge required to operate rail road h</w:t>
            </w:r>
            <w:r w:rsidRPr="006C6EEF">
              <w:t>eight access plant near rail traction systems in the electricity supply industry (ESI).</w:t>
            </w:r>
          </w:p>
          <w:p w:rsidR="00000000" w:rsidRPr="006C6EEF" w:rsidP="006C6EEF">
            <w:pPr>
              <w:pStyle w:val="BodyText"/>
            </w:pPr>
            <w:r w:rsidRPr="006C6EEF">
              <w:t>It includes operating and using road rail height access plant to install and maintain overhead traction systems. It also includes performing pre-operational inspection,</w:t>
            </w:r>
            <w:r w:rsidRPr="006C6EEF">
              <w:t xml:space="preserve"> undertaking safe working practices on or about the running line/track, road/rail management plans, relevant permits and post-operational inspection.</w:t>
            </w:r>
          </w:p>
          <w:p w:rsidR="00000000" w:rsidRPr="006C6EEF" w:rsidP="006C6EEF">
            <w:pPr>
              <w:pStyle w:val="BodyText"/>
            </w:pPr>
            <w:r w:rsidRPr="006C6EEF">
              <w:t>The application of the skills and knowledge described in this unit may require a licence/registration to p</w:t>
            </w:r>
            <w:r w:rsidRPr="006C6EEF">
              <w:t>ractice in the workplace.</w:t>
            </w:r>
          </w:p>
          <w:p w:rsidR="00000000" w:rsidRPr="006C6EEF" w:rsidP="006C6EEF">
            <w:pPr>
              <w:pStyle w:val="BodyText"/>
            </w:pPr>
            <w:r w:rsidRPr="006C6EEF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3" w:name="O_1179993"/>
      <w:bookmarkEnd w:id="3"/>
      <w:r w:rsidRPr="006C6E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UEECD0007 Apply work health</w:t>
            </w:r>
            <w:r w:rsidRPr="006C6EEF">
              <w:t xml:space="preserve"> and safety regulations, codes and practices in the workplace</w:t>
            </w:r>
          </w:p>
          <w:p w:rsidR="00000000" w:rsidRPr="006C6EEF" w:rsidP="006C6EEF">
            <w:pPr>
              <w:pStyle w:val="BodyText"/>
            </w:pPr>
            <w:r w:rsidRPr="006C6EEF">
              <w:t>UETDREL001 Apply environmental requirements</w:t>
            </w:r>
          </w:p>
          <w:p w:rsidR="00000000" w:rsidRPr="006C6EEF" w:rsidP="006C6EEF">
            <w:pPr>
              <w:pStyle w:val="BodyText"/>
            </w:pPr>
            <w:r w:rsidRPr="006C6EEF">
              <w:t>UETDREL004 Operate plant and equipment in the vicinity of live electrical apparatus</w:t>
            </w:r>
          </w:p>
          <w:p w:rsidR="00000000" w:rsidRPr="006C6EEF" w:rsidP="006C6EEF">
            <w:pPr>
              <w:pStyle w:val="BodyText"/>
            </w:pPr>
            <w:r w:rsidRPr="006C6EEF">
              <w:t>UETDREL005 Work safely in the vicinity of live electrical apparatu</w:t>
            </w:r>
            <w:r w:rsidRPr="006C6EEF">
              <w:t>s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4" w:name="O_1179994"/>
      <w:bookmarkEnd w:id="4"/>
      <w:r w:rsidRPr="006C6E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Rail Traction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5" w:name="O_1179995"/>
      <w:bookmarkEnd w:id="5"/>
      <w:r w:rsidRPr="006C6E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Not applicable.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6" w:name="O_1179996"/>
      <w:bookmarkEnd w:id="6"/>
      <w:r w:rsidRPr="006C6E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PERFORMANCE CRITERIA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Performance criteria describe the performance needed to demonstrate achievement of the element.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rPr>
                <w:rStyle w:val="SpecialBold"/>
              </w:rPr>
              <w:t>Prepare to operate road rail height access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Legislation, regulations, standards, codes of practice and organisational workplace requirements for t</w:t>
            </w:r>
            <w:r w:rsidRPr="006C6EEF">
              <w:t>he work to be performed are referred to and confirmed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Hazards are identified, risks assessed and control measures identified and applied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Plant, tools, equipment and personal protective equipment (PPE) required for work are determined, obtained and confirmed in working order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Work permits are organised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Pre-operational inspections of plan</w:t>
            </w:r>
            <w:r w:rsidRPr="006C6EEF">
              <w:t>t are performed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Worksite, road or rail management plan is prepared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Environmental constraints applicable to the work are identified and control measures applied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rPr>
                <w:rStyle w:val="SpecialBold"/>
              </w:rPr>
              <w:t>Operate road rail height access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Legislation, regulations, standards, codes of practice and organisational workplace requirements for the work to be pe</w:t>
            </w:r>
            <w:r w:rsidRPr="006C6EEF">
              <w:t xml:space="preserve">rformed are applied and monitored 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Lifting, working at heights and the use of plant, tools, equipment and PPE are carried out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Hazard control measures are monitored in accordance with workplace require</w:t>
            </w:r>
            <w:r w:rsidRPr="006C6EEF">
              <w:t>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Work permits are instructed and issued and where appropriate signed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Worksite, road or rail management plan is established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Road rail height access plant is operated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Incidents or unplanned events are responded to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rPr>
                <w:rStyle w:val="SpecialBold"/>
              </w:rPr>
              <w:t>Conclude operation of road rail height access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 xml:space="preserve">Post-operational </w:t>
            </w:r>
            <w:r w:rsidRPr="006C6EEF">
              <w:t>inspections of plant are performed, and non-compliances are reported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Incidents or unplanned events are reported in accordance with workplace requirements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Rail road height access plant is cleaned and secured, and packed up for return to storage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t>Work permits are completed in accordance with workplace procedures</w:t>
            </w:r>
          </w:p>
        </w:tc>
      </w:tr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EF">
            <w:pPr>
              <w:pStyle w:val="BodyText"/>
              <w:rPr>
                <w:lang w:val="en-NZ"/>
              </w:rPr>
            </w:pPr>
            <w:r w:rsidRPr="006C6EEF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Work records, reports and documentation are completed in accordance with workplace re</w:t>
            </w:r>
            <w:r w:rsidRPr="006C6EEF">
              <w:t>quirements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7" w:name="O_1179997"/>
      <w:bookmarkEnd w:id="7"/>
      <w:r w:rsidRPr="006C6E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Foundation skills essential to performance are explicit in the performance criteria of this unit of competency.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8" w:name="O_1179998"/>
      <w:bookmarkEnd w:id="8"/>
      <w:r w:rsidRPr="006C6E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Range is restricted to essential operating conditions and any other variables essential to the work environment.</w:t>
            </w:r>
          </w:p>
          <w:p w:rsidR="00000000" w:rsidRPr="006C6EEF" w:rsidP="006C6EEF">
            <w:pPr>
              <w:pStyle w:val="BodyText"/>
            </w:pPr>
            <w:r w:rsidRPr="006C6EEF">
              <w:t>Non-essential conditions may be found in the UET Transmission, Distribution and Rail Sector Training Package Companion Volume Implementation Gu</w:t>
            </w:r>
            <w:r w:rsidRPr="006C6EEF">
              <w:t>ide.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9" w:name="O_1179999"/>
      <w:bookmarkEnd w:id="9"/>
      <w:r w:rsidRPr="006C6E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EF" w:rsidP="006C6EEF">
            <w:pPr>
              <w:pStyle w:val="BodyText"/>
            </w:pPr>
            <w:r w:rsidRPr="006C6EEF">
              <w:t>This unit replaces and is equivalent to UETTDRRT29 Operate rail road traction height access equipment.</w:t>
            </w:r>
          </w:p>
        </w:tc>
      </w:tr>
    </w:tbl>
    <w:p w:rsidR="00000000" w:rsidRPr="006C6EEF" w:rsidP="006C6EEF">
      <w:pPr>
        <w:pStyle w:val="NoPaddingFontSize1"/>
      </w:pPr>
    </w:p>
    <w:p w:rsidR="00000000" w:rsidRPr="006C6EEF" w:rsidP="006C6EEF">
      <w:pPr>
        <w:pStyle w:val="AllowPageBreak"/>
      </w:pPr>
    </w:p>
    <w:p w:rsidR="00000000" w:rsidRPr="006C6EEF" w:rsidP="006C6EEF">
      <w:pPr>
        <w:pStyle w:val="Heading1"/>
      </w:pPr>
      <w:bookmarkStart w:id="10" w:name="O_1180006"/>
      <w:bookmarkEnd w:id="10"/>
      <w:r w:rsidRPr="006C6EEF">
        <w:t>Links</w:t>
      </w:r>
    </w:p>
    <w:p w:rsidR="00000000" w:rsidRPr="006C6EEF" w:rsidP="00F20514">
      <w:pPr>
        <w:pStyle w:val="BodyText"/>
      </w:pPr>
      <w:r w:rsidRPr="006C6E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96A0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C6EEF" w:rsidP="006C6EEF"/>
    <w:sectPr w:rsidSect="006C6E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F" w:rsidRPr="00F20514" w:rsidP="00F20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14" w:rsidP="006C6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514" w:rsidP="006C6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0514" w:rsidP="006C6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EEF" w:rsidRPr="00F20514" w:rsidP="00F20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14" w:rsidRPr="002D2AF8" w:rsidP="006C6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UETDRRT012 Operate rail road height access plant near rail traction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20514" w:rsidP="006C6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EEF"/>
  </w:style>
  <w:style w:type="character" w:customStyle="1" w:styleId="Heading1Char">
    <w:name w:val="Heading 1 Char"/>
    <w:basedOn w:val="DefaultParagraphFont"/>
    <w:link w:val="Heading1"/>
    <w:rsid w:val="006C6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E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6EEF"/>
    <w:rPr>
      <w:b/>
      <w:spacing w:val="0"/>
    </w:rPr>
  </w:style>
  <w:style w:type="paragraph" w:customStyle="1" w:styleId="SuperHeading">
    <w:name w:val="SuperHeading"/>
    <w:basedOn w:val="Normal"/>
    <w:rsid w:val="006C6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6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E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E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6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E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EEF"/>
    <w:rPr>
      <w:i/>
    </w:rPr>
  </w:style>
  <w:style w:type="paragraph" w:styleId="Caption">
    <w:name w:val="caption"/>
    <w:basedOn w:val="BodyText"/>
    <w:next w:val="Normal"/>
    <w:qFormat/>
    <w:rsid w:val="006C6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EEF"/>
  </w:style>
  <w:style w:type="paragraph" w:styleId="TableofFigures">
    <w:name w:val="table of figures"/>
    <w:basedOn w:val="Normal"/>
    <w:next w:val="Normal"/>
    <w:semiHidden/>
    <w:rsid w:val="006C6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E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6EEF"/>
    <w:rPr>
      <w:rFonts w:ascii="Wingdings" w:hAnsi="Wingdings"/>
    </w:rPr>
  </w:style>
  <w:style w:type="paragraph" w:customStyle="1" w:styleId="TableHeading">
    <w:name w:val="Table Heading"/>
    <w:basedOn w:val="HeadingBase"/>
    <w:rsid w:val="006C6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EEF"/>
    <w:rPr>
      <w:color w:val="0033CC"/>
      <w:u w:val="none"/>
    </w:rPr>
  </w:style>
  <w:style w:type="paragraph" w:customStyle="1" w:styleId="BodyTextRight">
    <w:name w:val="Body Text Right"/>
    <w:basedOn w:val="BodyText"/>
    <w:rsid w:val="006C6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E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EEF"/>
    <w:rPr>
      <w:sz w:val="32"/>
    </w:rPr>
  </w:style>
  <w:style w:type="paragraph" w:customStyle="1" w:styleId="HeadingProcedure">
    <w:name w:val="Heading Procedure"/>
    <w:basedOn w:val="HeadingBase"/>
    <w:next w:val="Normal"/>
    <w:rsid w:val="006C6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EEF"/>
    <w:pPr>
      <w:spacing w:before="60" w:after="60"/>
    </w:pPr>
  </w:style>
  <w:style w:type="paragraph" w:styleId="ListContinue">
    <w:name w:val="List Continue"/>
    <w:basedOn w:val="List"/>
    <w:rsid w:val="006C6EEF"/>
    <w:pPr>
      <w:ind w:firstLine="0"/>
    </w:pPr>
  </w:style>
  <w:style w:type="paragraph" w:customStyle="1" w:styleId="ListNote">
    <w:name w:val="List Note"/>
    <w:basedOn w:val="List"/>
    <w:rsid w:val="006C6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EEF"/>
    <w:rPr>
      <w:rFonts w:ascii="Courier New" w:hAnsi="Courier New"/>
    </w:rPr>
  </w:style>
  <w:style w:type="paragraph" w:customStyle="1" w:styleId="NoteBullet">
    <w:name w:val="Note Bullet"/>
    <w:basedOn w:val="Note"/>
    <w:rsid w:val="006C6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E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6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EEF"/>
    <w:rPr>
      <w:b/>
      <w:smallCaps/>
    </w:rPr>
  </w:style>
  <w:style w:type="paragraph" w:customStyle="1" w:styleId="TableListNumber">
    <w:name w:val="Table List Number"/>
    <w:basedOn w:val="ListNumber"/>
    <w:rsid w:val="006C6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EEF"/>
    <w:pPr>
      <w:numPr>
        <w:numId w:val="7"/>
      </w:numPr>
    </w:pPr>
  </w:style>
  <w:style w:type="paragraph" w:customStyle="1" w:styleId="ListAlpha2">
    <w:name w:val="List Alpha 2"/>
    <w:basedOn w:val="List2"/>
    <w:rsid w:val="006C6EEF"/>
    <w:pPr>
      <w:numPr>
        <w:numId w:val="6"/>
      </w:numPr>
    </w:pPr>
  </w:style>
  <w:style w:type="paragraph" w:styleId="List2">
    <w:name w:val="List 2"/>
    <w:basedOn w:val="BodyText"/>
    <w:rsid w:val="006C6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E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E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6EEF"/>
    <w:pPr>
      <w:numPr>
        <w:numId w:val="2"/>
      </w:numPr>
    </w:pPr>
  </w:style>
  <w:style w:type="paragraph" w:styleId="ListContinue2">
    <w:name w:val="List Continue 2"/>
    <w:basedOn w:val="List2"/>
    <w:rsid w:val="006C6EEF"/>
    <w:pPr>
      <w:ind w:firstLine="0"/>
    </w:pPr>
  </w:style>
  <w:style w:type="paragraph" w:styleId="ListContinue3">
    <w:name w:val="List Continue 3"/>
    <w:basedOn w:val="List3"/>
    <w:rsid w:val="006C6EEF"/>
    <w:pPr>
      <w:ind w:left="1021" w:firstLine="0"/>
    </w:pPr>
  </w:style>
  <w:style w:type="paragraph" w:styleId="ListContinue4">
    <w:name w:val="List Continue 4"/>
    <w:basedOn w:val="List4"/>
    <w:rsid w:val="006C6EEF"/>
    <w:pPr>
      <w:ind w:firstLine="0"/>
    </w:pPr>
  </w:style>
  <w:style w:type="paragraph" w:styleId="ListContinue5">
    <w:name w:val="List Continue 5"/>
    <w:basedOn w:val="List5"/>
    <w:rsid w:val="006C6EEF"/>
    <w:pPr>
      <w:ind w:firstLine="0"/>
    </w:pPr>
  </w:style>
  <w:style w:type="paragraph" w:styleId="ListNumber3">
    <w:name w:val="List Number 3"/>
    <w:basedOn w:val="List3"/>
    <w:rsid w:val="006C6EEF"/>
    <w:pPr>
      <w:numPr>
        <w:numId w:val="3"/>
      </w:numPr>
    </w:pPr>
  </w:style>
  <w:style w:type="paragraph" w:styleId="ListNumber4">
    <w:name w:val="List Number 4"/>
    <w:basedOn w:val="List4"/>
    <w:rsid w:val="006C6EEF"/>
    <w:pPr>
      <w:numPr>
        <w:numId w:val="4"/>
      </w:numPr>
    </w:pPr>
  </w:style>
  <w:style w:type="paragraph" w:styleId="ListNumber5">
    <w:name w:val="List Number 5"/>
    <w:basedOn w:val="List5"/>
    <w:rsid w:val="006C6EEF"/>
    <w:pPr>
      <w:numPr>
        <w:numId w:val="5"/>
      </w:numPr>
    </w:pPr>
  </w:style>
  <w:style w:type="paragraph" w:styleId="BlockText">
    <w:name w:val="Block Text"/>
    <w:basedOn w:val="Normal"/>
    <w:rsid w:val="006C6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EEF"/>
    <w:rPr>
      <w:sz w:val="16"/>
      <w:vertAlign w:val="superscript"/>
    </w:rPr>
  </w:style>
  <w:style w:type="character" w:customStyle="1" w:styleId="Symbols">
    <w:name w:val="Symbols"/>
    <w:basedOn w:val="DefaultParagraphFont"/>
    <w:rsid w:val="006C6EEF"/>
    <w:rPr>
      <w:rFonts w:ascii="Symbol" w:hAnsi="Symbol"/>
    </w:rPr>
  </w:style>
  <w:style w:type="character" w:customStyle="1" w:styleId="MenuOptions">
    <w:name w:val="Menu Options"/>
    <w:basedOn w:val="DefaultParagraphFont"/>
    <w:rsid w:val="006C6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EEF"/>
    <w:rPr>
      <w:b/>
    </w:rPr>
  </w:style>
  <w:style w:type="character" w:customStyle="1" w:styleId="Underlined">
    <w:name w:val="Underlined"/>
    <w:basedOn w:val="DefaultParagraphFont"/>
    <w:rsid w:val="006C6EEF"/>
    <w:rPr>
      <w:u w:val="single"/>
    </w:rPr>
  </w:style>
  <w:style w:type="paragraph" w:customStyle="1" w:styleId="TableBodyTextRight">
    <w:name w:val="Table Body Text Right"/>
    <w:basedOn w:val="TableBodyText"/>
    <w:rsid w:val="006C6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EEF"/>
    <w:rPr>
      <w:sz w:val="18"/>
    </w:rPr>
  </w:style>
  <w:style w:type="paragraph" w:customStyle="1" w:styleId="BodySmallRight">
    <w:name w:val="Body Small Right"/>
    <w:basedOn w:val="BodyTextRight"/>
    <w:rsid w:val="006C6EEF"/>
    <w:rPr>
      <w:sz w:val="18"/>
      <w:szCs w:val="18"/>
    </w:rPr>
  </w:style>
  <w:style w:type="paragraph" w:customStyle="1" w:styleId="MarginEdition">
    <w:name w:val="Margin Edition"/>
    <w:basedOn w:val="MarginNote"/>
    <w:rsid w:val="006C6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EEF"/>
    <w:rPr>
      <w:sz w:val="2"/>
      <w:szCs w:val="2"/>
    </w:rPr>
  </w:style>
  <w:style w:type="character" w:customStyle="1" w:styleId="Small">
    <w:name w:val="Small"/>
    <w:basedOn w:val="DefaultParagraphFont"/>
    <w:rsid w:val="006C6EEF"/>
    <w:rPr>
      <w:sz w:val="16"/>
    </w:rPr>
  </w:style>
  <w:style w:type="paragraph" w:customStyle="1" w:styleId="WideTable">
    <w:name w:val="Wide Table"/>
    <w:basedOn w:val="Normal"/>
    <w:rsid w:val="006C6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EEF"/>
  </w:style>
  <w:style w:type="paragraph" w:styleId="Quote">
    <w:name w:val="Quote"/>
    <w:basedOn w:val="Heading1"/>
    <w:link w:val="QuoteChar"/>
    <w:qFormat/>
    <w:rsid w:val="006C6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EEF"/>
    <w:pPr>
      <w:pageBreakBefore/>
    </w:pPr>
  </w:style>
  <w:style w:type="paragraph" w:customStyle="1" w:styleId="Border">
    <w:name w:val="Border"/>
    <w:basedOn w:val="Normal"/>
    <w:qFormat/>
    <w:rsid w:val="006C6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EEF"/>
    <w:rPr>
      <w:u w:val="single"/>
    </w:rPr>
  </w:style>
  <w:style w:type="character" w:customStyle="1" w:styleId="BoldandItalics">
    <w:name w:val="Bold and Italics"/>
    <w:qFormat/>
    <w:rsid w:val="006C6EEF"/>
    <w:rPr>
      <w:b/>
      <w:i/>
      <w:u w:val="none"/>
    </w:rPr>
  </w:style>
  <w:style w:type="paragraph" w:styleId="BalloonText">
    <w:name w:val="Balloon Text"/>
    <w:basedOn w:val="Normal"/>
    <w:link w:val="BalloonTextChar"/>
    <w:rsid w:val="006C6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EEF"/>
    <w:pPr>
      <w:spacing w:before="0" w:after="0"/>
    </w:pPr>
  </w:style>
  <w:style w:type="paragraph" w:customStyle="1" w:styleId="BodyTextBold">
    <w:name w:val="Body Text Bold"/>
    <w:basedOn w:val="BodyText"/>
    <w:qFormat/>
    <w:rsid w:val="006C6EEF"/>
    <w:rPr>
      <w:b/>
    </w:rPr>
  </w:style>
  <w:style w:type="character" w:styleId="Hyperlink">
    <w:name w:val="Hyperlink"/>
    <w:basedOn w:val="DefaultParagraphFont"/>
    <w:uiPriority w:val="99"/>
    <w:unhideWhenUsed/>
    <w:rsid w:val="00F20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4126</Characters>
  <Application>Microsoft Office Word</Application>
  <DocSecurity>0</DocSecurity>
  <Lines>187</Lines>
  <Paragraphs>93</Paragraphs>
  <ScaleCrop>false</ScaleCrop>
  <Company>Author-it Software Corporation Ltd.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UETDRRT012 Operate rail road height access plant near rail traction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