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EE7" w:rsidP="00F23EE7">
      <w:pPr>
        <w:pStyle w:val="Title"/>
      </w:pPr>
      <w:r>
        <w:fldChar w:fldCharType="begin"/>
      </w:r>
      <w:r>
        <w:instrText xml:space="preserve"> TITLE   \* MERGEFORMAT </w:instrText>
      </w:r>
      <w:r>
        <w:fldChar w:fldCharType="separate"/>
      </w:r>
      <w:r>
        <w:t>Assessment Requirements for UETDRRT010 Maintain rail traction bonds</w:t>
      </w:r>
      <w:r>
        <w:fldChar w:fldCharType="end"/>
      </w:r>
    </w:p>
    <w:p w:rsidR="00F23EE7" w:rsidP="00F23EE7">
      <w:pPr>
        <w:pStyle w:val="Version"/>
        <w:sectPr w:rsidSect="003B17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1700" w:rsidP="003B1700">
      <w:pPr>
        <w:pStyle w:val="SuperHeading"/>
      </w:pPr>
      <w:r w:rsidRPr="003B1700">
        <w:t>Assessment Requirements for UETDRRT010 Maintain rail traction bonds</w:t>
      </w:r>
    </w:p>
    <w:p w:rsidR="00000000" w:rsidRPr="003B1700" w:rsidP="003B1700">
      <w:pPr>
        <w:pStyle w:val="Heading1"/>
      </w:pPr>
      <w:bookmarkStart w:id="1" w:name="O_1179963"/>
      <w:bookmarkEnd w:id="1"/>
      <w:r w:rsidRPr="003B1700">
        <w:t>Modification History</w:t>
      </w:r>
    </w:p>
    <w:tbl>
      <w:tblPr>
        <w:tblW w:w="9497" w:type="dxa"/>
        <w:tblLayout w:type="fixed"/>
        <w:tblCellMar>
          <w:left w:w="62" w:type="dxa"/>
          <w:right w:w="62" w:type="dxa"/>
        </w:tblCellMar>
        <w:tblLook w:val="0000"/>
      </w:tblPr>
      <w:tblGrid>
        <w:gridCol w:w="9497"/>
      </w:tblGrid>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700" w:rsidP="003B1700">
            <w:pPr>
              <w:pStyle w:val="BodyText"/>
            </w:pPr>
            <w:r w:rsidRPr="003B1700">
              <w:t>Release 1. This is the first release of this unit of competency in the UET Transmission, Distribution and Rail Sector Training Package Release 2.0.</w:t>
            </w:r>
          </w:p>
        </w:tc>
      </w:tr>
    </w:tbl>
    <w:p w:rsidR="00000000" w:rsidRPr="003B1700" w:rsidP="003B1700">
      <w:pPr>
        <w:pStyle w:val="NoPaddingFontSize1"/>
      </w:pPr>
    </w:p>
    <w:p w:rsidR="00000000" w:rsidRPr="003B1700" w:rsidP="003B1700">
      <w:pPr>
        <w:pStyle w:val="AllowPageBreak"/>
      </w:pPr>
    </w:p>
    <w:p w:rsidR="00000000" w:rsidRPr="003B1700" w:rsidP="003B1700">
      <w:pPr>
        <w:pStyle w:val="Heading1"/>
      </w:pPr>
      <w:bookmarkStart w:id="2" w:name="O_1179964"/>
      <w:bookmarkEnd w:id="2"/>
      <w:r w:rsidRPr="003B1700">
        <w:t>Performance Evidence</w:t>
      </w:r>
    </w:p>
    <w:tbl>
      <w:tblPr>
        <w:tblW w:w="9497" w:type="dxa"/>
        <w:tblLayout w:type="fixed"/>
        <w:tblCellMar>
          <w:left w:w="62" w:type="dxa"/>
          <w:right w:w="62" w:type="dxa"/>
        </w:tblCellMar>
        <w:tblLook w:val="0000"/>
      </w:tblPr>
      <w:tblGrid>
        <w:gridCol w:w="9497"/>
      </w:tblGrid>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1700">
            <w:pPr>
              <w:pStyle w:val="BodyText"/>
              <w:rPr>
                <w:lang w:val="en-NZ"/>
              </w:rPr>
            </w:pPr>
            <w:r w:rsidRPr="003B1700">
              <w:t xml:space="preserve">Evidence required to demonstrate competence in this unit must be relevant to and satisfy all of the requirements of the elements and performance criteria on at least two separate occasions and include:  </w:t>
            </w:r>
          </w:p>
        </w:tc>
      </w:tr>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700" w:rsidP="003B1700">
            <w:pPr>
              <w:pStyle w:val="ListBullet"/>
            </w:pPr>
            <w:r w:rsidRPr="003B1700">
              <w:t>applying</w:t>
            </w:r>
            <w:r w:rsidRPr="003B1700">
              <w:t xml:space="preserve"> relevant legislation, regulations, standards, codes of practice and organisational workplace requirements, including:</w:t>
            </w:r>
          </w:p>
          <w:p w:rsidR="00000000" w:rsidRPr="003B1700" w:rsidP="003B1700">
            <w:pPr>
              <w:pStyle w:val="ListBullet2"/>
            </w:pPr>
            <w:r w:rsidRPr="003B1700">
              <w:t>work health and safety (WHS)/occupational health and safety (OHS)</w:t>
            </w:r>
          </w:p>
          <w:p w:rsidR="00000000" w:rsidRPr="003B1700" w:rsidP="003B1700">
            <w:pPr>
              <w:pStyle w:val="ListBullet"/>
            </w:pPr>
            <w:r w:rsidRPr="003B1700">
              <w:t>identifying hazards, assessing risks, identifying, applying and monitoring control measures</w:t>
            </w:r>
          </w:p>
          <w:p w:rsidR="00000000" w:rsidRPr="003B1700" w:rsidP="003B1700">
            <w:pPr>
              <w:pStyle w:val="ListBullet"/>
            </w:pPr>
            <w:r w:rsidRPr="003B1700">
              <w:t>obtaining, inspecting and using relevant personal protective equipment (PPE)</w:t>
            </w:r>
          </w:p>
          <w:p w:rsidR="00000000" w:rsidRPr="003B1700" w:rsidP="003B1700">
            <w:pPr>
              <w:pStyle w:val="ListBullet"/>
            </w:pPr>
            <w:r w:rsidRPr="003B1700">
              <w:t>maintaining at least two (2) of the following types of connecting bond cables and compo</w:t>
            </w:r>
            <w:r w:rsidRPr="003B1700">
              <w:t>nents:</w:t>
            </w:r>
          </w:p>
          <w:p w:rsidR="00000000" w:rsidRPr="003B1700" w:rsidP="003B1700">
            <w:pPr>
              <w:pStyle w:val="ListBullet2"/>
            </w:pPr>
            <w:r w:rsidRPr="003B1700">
              <w:t>covered or bare aluminium bonds</w:t>
            </w:r>
          </w:p>
          <w:p w:rsidR="00000000" w:rsidRPr="003B1700" w:rsidP="003B1700">
            <w:pPr>
              <w:pStyle w:val="ListBullet2"/>
            </w:pPr>
            <w:r w:rsidRPr="003B1700">
              <w:t>copper bonds</w:t>
            </w:r>
          </w:p>
          <w:p w:rsidR="00000000" w:rsidRPr="003B1700" w:rsidP="003B1700">
            <w:pPr>
              <w:pStyle w:val="ListBullet2"/>
            </w:pPr>
            <w:r w:rsidRPr="003B1700">
              <w:t>steel bonds</w:t>
            </w:r>
          </w:p>
          <w:p w:rsidR="00000000" w:rsidRPr="003B1700" w:rsidP="003B1700">
            <w:pPr>
              <w:pStyle w:val="ListBullet2"/>
            </w:pPr>
            <w:r w:rsidRPr="003B1700">
              <w:t>steel rail</w:t>
            </w:r>
          </w:p>
          <w:p w:rsidR="00000000" w:rsidRPr="003B1700" w:rsidP="003B1700">
            <w:pPr>
              <w:pStyle w:val="ListBullet"/>
            </w:pPr>
            <w:r w:rsidRPr="003B1700">
              <w:t>using at least three (3) of the following types of equipment, tools and testers required for maintaining rail traction bonds:</w:t>
            </w:r>
          </w:p>
          <w:p w:rsidR="00000000" w:rsidRPr="003B1700" w:rsidP="003B1700">
            <w:pPr>
              <w:pStyle w:val="ListBullet2"/>
            </w:pPr>
            <w:r w:rsidRPr="003B1700">
              <w:t>bonding specific tools</w:t>
            </w:r>
          </w:p>
          <w:p w:rsidR="00000000" w:rsidRPr="003B1700" w:rsidP="003B1700">
            <w:pPr>
              <w:pStyle w:val="ListBullet2"/>
            </w:pPr>
            <w:r w:rsidRPr="003B1700">
              <w:t>crimping devices</w:t>
            </w:r>
          </w:p>
          <w:p w:rsidR="00000000" w:rsidRPr="003B1700" w:rsidP="003B1700">
            <w:pPr>
              <w:pStyle w:val="ListBullet2"/>
            </w:pPr>
            <w:r w:rsidRPr="003B1700">
              <w:t>thermal moul</w:t>
            </w:r>
            <w:r w:rsidRPr="003B1700">
              <w:t>ds</w:t>
            </w:r>
          </w:p>
          <w:p w:rsidR="00000000" w:rsidRPr="003B1700" w:rsidP="003B1700">
            <w:pPr>
              <w:pStyle w:val="ListBullet2"/>
            </w:pPr>
            <w:r w:rsidRPr="003B1700">
              <w:t>rail drill</w:t>
            </w:r>
          </w:p>
          <w:p w:rsidR="00000000" w:rsidRPr="003B1700" w:rsidP="003B1700">
            <w:pPr>
              <w:pStyle w:val="ListBullet2"/>
            </w:pPr>
            <w:r w:rsidRPr="003B1700">
              <w:t>bonding fittings</w:t>
            </w:r>
          </w:p>
          <w:p w:rsidR="00000000" w:rsidRPr="003B1700" w:rsidP="003B1700">
            <w:pPr>
              <w:pStyle w:val="ListBullet2"/>
            </w:pPr>
            <w:r w:rsidRPr="003B1700">
              <w:t>explosive power tools</w:t>
            </w:r>
          </w:p>
          <w:p w:rsidR="00000000" w:rsidRPr="003B1700" w:rsidP="003B1700">
            <w:pPr>
              <w:pStyle w:val="ListBullet2"/>
            </w:pPr>
            <w:r w:rsidRPr="003B1700">
              <w:t>meter or tester</w:t>
            </w:r>
          </w:p>
          <w:p w:rsidR="00000000" w:rsidRPr="003B1700" w:rsidP="003B1700">
            <w:pPr>
              <w:pStyle w:val="ListBullet"/>
            </w:pPr>
            <w:r w:rsidRPr="003B1700">
              <w:t>dealing with an unplanned event on at least one (1) occasion</w:t>
            </w:r>
          </w:p>
          <w:p w:rsidR="00000000" w:rsidRPr="003B1700" w:rsidP="003B1700">
            <w:pPr>
              <w:pStyle w:val="ListBullet"/>
            </w:pPr>
            <w:r w:rsidRPr="003B1700">
              <w:t>completing relevant work records, reports and documentation.</w:t>
            </w:r>
          </w:p>
        </w:tc>
      </w:tr>
    </w:tbl>
    <w:p w:rsidR="00000000" w:rsidRPr="003B1700" w:rsidP="003B1700">
      <w:pPr>
        <w:pStyle w:val="NoPaddingFontSize1"/>
      </w:pPr>
    </w:p>
    <w:p w:rsidR="00000000" w:rsidRPr="003B1700" w:rsidP="003B1700">
      <w:pPr>
        <w:pStyle w:val="AllowPageBreak"/>
      </w:pPr>
    </w:p>
    <w:p w:rsidR="00000000" w:rsidRPr="003B1700" w:rsidP="003B1700">
      <w:pPr>
        <w:pStyle w:val="Heading1"/>
      </w:pPr>
      <w:bookmarkStart w:id="3" w:name="O_1179965"/>
      <w:bookmarkEnd w:id="3"/>
      <w:r w:rsidRPr="003B1700">
        <w:t>Knowledge Evidence</w:t>
      </w:r>
    </w:p>
    <w:tbl>
      <w:tblPr>
        <w:tblW w:w="9497" w:type="dxa"/>
        <w:tblLayout w:type="fixed"/>
        <w:tblCellMar>
          <w:left w:w="62" w:type="dxa"/>
          <w:right w:w="62" w:type="dxa"/>
        </w:tblCellMar>
        <w:tblLook w:val="0000"/>
      </w:tblPr>
      <w:tblGrid>
        <w:gridCol w:w="9497"/>
      </w:tblGrid>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1700">
            <w:pPr>
              <w:pStyle w:val="BodyText"/>
              <w:rPr>
                <w:lang w:val="en-NZ"/>
              </w:rPr>
            </w:pPr>
            <w:r w:rsidRPr="003B1700">
              <w:t>Evidence required to demonstrate competence in this unit must be relevant to and satisfy all of the requirements of the elements and performance criteria and include knowledge of:</w:t>
            </w:r>
          </w:p>
        </w:tc>
      </w:tr>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700" w:rsidP="003B1700">
            <w:pPr>
              <w:pStyle w:val="ListBullet"/>
            </w:pPr>
            <w:r w:rsidRPr="003B1700">
              <w:t xml:space="preserve">relevant legislation, regulations standards, codes of practice and organisational workplace requirements, including: </w:t>
            </w:r>
          </w:p>
          <w:p w:rsidR="00000000" w:rsidRPr="003B1700" w:rsidP="003B1700">
            <w:pPr>
              <w:pStyle w:val="ListBullet2"/>
            </w:pPr>
            <w:r w:rsidRPr="003B1700">
              <w:t>WHS/OHS</w:t>
            </w:r>
          </w:p>
          <w:p w:rsidR="00000000" w:rsidRPr="003B1700" w:rsidP="003B1700">
            <w:pPr>
              <w:pStyle w:val="ListBullet"/>
            </w:pPr>
            <w:r w:rsidRPr="003B1700">
              <w:t>hazard, risk assessment and risk control requirements, including potential hazards</w:t>
            </w:r>
          </w:p>
          <w:p w:rsidR="00000000" w:rsidRPr="003B1700" w:rsidP="003B1700">
            <w:pPr>
              <w:pStyle w:val="ListBullet"/>
            </w:pPr>
            <w:r w:rsidRPr="003B1700">
              <w:t>types and application of PPE</w:t>
            </w:r>
          </w:p>
          <w:p w:rsidR="00000000" w:rsidRPr="003B1700" w:rsidP="003B1700">
            <w:pPr>
              <w:pStyle w:val="ListBullet"/>
            </w:pPr>
            <w:r w:rsidRPr="003B1700">
              <w:t>safe use of plan</w:t>
            </w:r>
            <w:r w:rsidRPr="003B1700">
              <w:t xml:space="preserve">t, tools and equipment </w:t>
            </w:r>
          </w:p>
          <w:p w:rsidR="00000000" w:rsidRPr="003B1700" w:rsidP="003B1700">
            <w:pPr>
              <w:pStyle w:val="ListBullet"/>
            </w:pPr>
            <w:r w:rsidRPr="003B1700">
              <w:t>application, purpose and types of permits</w:t>
            </w:r>
          </w:p>
          <w:p w:rsidR="00000000" w:rsidRPr="003B1700" w:rsidP="003B1700">
            <w:pPr>
              <w:pStyle w:val="ListBullet"/>
            </w:pPr>
            <w:r w:rsidRPr="003B1700">
              <w:t>rail traction bonds maintenance documents</w:t>
            </w:r>
          </w:p>
          <w:p w:rsidR="00000000" w:rsidRPr="003B1700" w:rsidP="003B1700">
            <w:pPr>
              <w:pStyle w:val="ListBullet"/>
            </w:pPr>
            <w:r w:rsidRPr="003B1700">
              <w:t>traction bond and cables, including:</w:t>
            </w:r>
          </w:p>
          <w:p w:rsidR="00000000" w:rsidRPr="003B1700" w:rsidP="003B1700">
            <w:pPr>
              <w:pStyle w:val="ListBullet2"/>
            </w:pPr>
            <w:r w:rsidRPr="003B1700">
              <w:t>temporary and permanent bonding preparation and installation methods</w:t>
            </w:r>
          </w:p>
          <w:p w:rsidR="00000000" w:rsidRPr="003B1700" w:rsidP="003B1700">
            <w:pPr>
              <w:pStyle w:val="ListBullet2"/>
            </w:pPr>
            <w:r w:rsidRPr="003B1700">
              <w:t>applications for temporary and permanent bonding</w:t>
            </w:r>
          </w:p>
          <w:p w:rsidR="00000000" w:rsidRPr="003B1700" w:rsidP="003B1700">
            <w:pPr>
              <w:pStyle w:val="ListBullet2"/>
            </w:pPr>
            <w:r w:rsidRPr="003B1700">
              <w:t>components of temporary and permanent bonds</w:t>
            </w:r>
          </w:p>
          <w:p w:rsidR="00000000" w:rsidRPr="003B1700" w:rsidP="003B1700">
            <w:pPr>
              <w:pStyle w:val="ListBullet2"/>
            </w:pPr>
            <w:r w:rsidRPr="003B1700">
              <w:t>interface between traction and signalling circuits</w:t>
            </w:r>
          </w:p>
          <w:p w:rsidR="00000000" w:rsidRPr="003B1700" w:rsidP="003B1700">
            <w:pPr>
              <w:pStyle w:val="ListBullet"/>
            </w:pPr>
            <w:r w:rsidRPr="003B1700">
              <w:t>safe working procedures/practices when carrying out temporary and permanent bonding, including:</w:t>
            </w:r>
          </w:p>
          <w:p w:rsidR="00000000" w:rsidRPr="003B1700" w:rsidP="003B1700">
            <w:pPr>
              <w:pStyle w:val="ListBullet2"/>
            </w:pPr>
            <w:r w:rsidRPr="003B1700">
              <w:t>PPE</w:t>
            </w:r>
          </w:p>
          <w:p w:rsidR="00000000" w:rsidRPr="003B1700" w:rsidP="003B1700">
            <w:pPr>
              <w:pStyle w:val="ListBullet2"/>
            </w:pPr>
            <w:r w:rsidRPr="003B1700">
              <w:t>electrical</w:t>
            </w:r>
            <w:r w:rsidRPr="003B1700">
              <w:t xml:space="preserve"> and visual testing of the PPE</w:t>
            </w:r>
          </w:p>
          <w:p w:rsidR="00000000" w:rsidRPr="003B1700" w:rsidP="003B1700">
            <w:pPr>
              <w:pStyle w:val="ListBullet"/>
            </w:pPr>
            <w:r w:rsidRPr="003B1700">
              <w:t>maintenance of traction bond, cables and equipment, including:</w:t>
            </w:r>
          </w:p>
          <w:p w:rsidR="00000000" w:rsidRPr="003B1700" w:rsidP="003B1700">
            <w:pPr>
              <w:pStyle w:val="ListBullet2"/>
            </w:pPr>
            <w:r w:rsidRPr="003B1700">
              <w:t>types and components</w:t>
            </w:r>
          </w:p>
          <w:p w:rsidR="00000000" w:rsidRPr="003B1700" w:rsidP="003B1700">
            <w:pPr>
              <w:pStyle w:val="ListBullet2"/>
            </w:pPr>
            <w:r w:rsidRPr="003B1700">
              <w:t>types and function of tools and equipment</w:t>
            </w:r>
          </w:p>
          <w:p w:rsidR="00000000" w:rsidRPr="003B1700" w:rsidP="003B1700">
            <w:pPr>
              <w:pStyle w:val="ListBullet2"/>
            </w:pPr>
            <w:r w:rsidRPr="003B1700">
              <w:t>maintenance/repair procedures</w:t>
            </w:r>
          </w:p>
          <w:p w:rsidR="00000000" w:rsidRPr="003B1700" w:rsidP="003B1700">
            <w:pPr>
              <w:pStyle w:val="ListBullet2"/>
            </w:pPr>
            <w:r w:rsidRPr="003B1700">
              <w:t>inspection and recording procedures</w:t>
            </w:r>
          </w:p>
          <w:p w:rsidR="00000000" w:rsidRPr="003B1700" w:rsidP="003B1700">
            <w:pPr>
              <w:pStyle w:val="ListBullet"/>
            </w:pPr>
            <w:r w:rsidRPr="003B1700">
              <w:t>diagnosis and correction of si</w:t>
            </w:r>
            <w:r w:rsidRPr="003B1700">
              <w:t>mple faults in traction bonds, including:</w:t>
            </w:r>
          </w:p>
          <w:p w:rsidR="00000000" w:rsidRPr="003B1700" w:rsidP="003B1700">
            <w:pPr>
              <w:pStyle w:val="ListBullet2"/>
            </w:pPr>
            <w:r w:rsidRPr="003B1700">
              <w:t>types and causes</w:t>
            </w:r>
          </w:p>
          <w:p w:rsidR="00000000" w:rsidRPr="003B1700" w:rsidP="003B1700">
            <w:pPr>
              <w:pStyle w:val="ListBullet2"/>
            </w:pPr>
            <w:r w:rsidRPr="003B1700">
              <w:t>determination of appropriate corrective actions</w:t>
            </w:r>
          </w:p>
          <w:p w:rsidR="00000000" w:rsidRPr="003B1700" w:rsidP="003B1700">
            <w:pPr>
              <w:pStyle w:val="ListBullet2"/>
            </w:pPr>
            <w:r w:rsidRPr="003B1700">
              <w:t>repair and replace procedures</w:t>
            </w:r>
          </w:p>
          <w:p w:rsidR="00000000" w:rsidRPr="003B1700" w:rsidP="003B1700">
            <w:pPr>
              <w:pStyle w:val="ListBullet"/>
            </w:pPr>
            <w:r w:rsidRPr="003B1700">
              <w:t>events constituting an unplanned event or incident</w:t>
            </w:r>
          </w:p>
          <w:p w:rsidR="00000000" w:rsidRPr="003B1700" w:rsidP="003B1700">
            <w:pPr>
              <w:pStyle w:val="ListBullet"/>
            </w:pPr>
            <w:r w:rsidRPr="003B1700">
              <w:t>procedures for responding to an unplanned event or incident.</w:t>
            </w:r>
          </w:p>
        </w:tc>
      </w:tr>
    </w:tbl>
    <w:p w:rsidR="00000000" w:rsidRPr="003B1700" w:rsidP="003B1700">
      <w:pPr>
        <w:pStyle w:val="NoPaddingFontSize1"/>
      </w:pPr>
    </w:p>
    <w:p w:rsidR="00000000" w:rsidRPr="003B1700" w:rsidP="003B1700">
      <w:pPr>
        <w:pStyle w:val="AllowPageBreak"/>
      </w:pPr>
    </w:p>
    <w:p w:rsidR="00000000" w:rsidRPr="003B1700" w:rsidP="003B1700">
      <w:pPr>
        <w:pStyle w:val="Heading1"/>
      </w:pPr>
      <w:bookmarkStart w:id="4" w:name="O_1179966"/>
      <w:bookmarkEnd w:id="4"/>
      <w:r w:rsidRPr="003B1700">
        <w:t>Assessment Conditions</w:t>
      </w:r>
    </w:p>
    <w:tbl>
      <w:tblPr>
        <w:tblW w:w="9497" w:type="dxa"/>
        <w:tblLayout w:type="fixed"/>
        <w:tblCellMar>
          <w:left w:w="62" w:type="dxa"/>
          <w:right w:w="62" w:type="dxa"/>
        </w:tblCellMar>
        <w:tblLook w:val="0000"/>
      </w:tblPr>
      <w:tblGrid>
        <w:gridCol w:w="9497"/>
      </w:tblGrid>
      <w:tr w:rsidTr="003B170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1700" w:rsidP="003B1700">
            <w:pPr>
              <w:pStyle w:val="BodyText"/>
            </w:pPr>
            <w:r w:rsidRPr="003B1700">
              <w:t>Assessors must hold credentials specified within the Standards for Registered Training Organisations current at the time of assessment.</w:t>
            </w:r>
          </w:p>
          <w:p w:rsidR="00000000" w:rsidRPr="003B1700" w:rsidP="003B1700">
            <w:pPr>
              <w:pStyle w:val="BodyText"/>
            </w:pPr>
            <w:r w:rsidRPr="003B1700">
              <w:t>Assessment must satisfy the Principles of Assessment and Rules of Evidence and a</w:t>
            </w:r>
            <w:r w:rsidRPr="003B1700">
              <w:t>ll regulatory requirements included within the Standards for Registered Training Organisations current at the time of assessment.</w:t>
            </w:r>
          </w:p>
          <w:p w:rsidR="00000000" w:rsidRPr="003B1700" w:rsidP="003B1700">
            <w:pPr>
              <w:pStyle w:val="BodyText"/>
            </w:pPr>
            <w:r w:rsidRPr="003B1700">
              <w:t>Assessment must occur in workplace operational situations, where it is appropriate to do so.</w:t>
            </w:r>
          </w:p>
          <w:p w:rsidR="00000000" w:rsidRPr="003B1700" w:rsidP="003B1700">
            <w:pPr>
              <w:pStyle w:val="BodyText"/>
            </w:pPr>
            <w:r w:rsidRPr="003B1700">
              <w:t>Where this is not appropriate, as</w:t>
            </w:r>
            <w:r w:rsidRPr="003B1700">
              <w:t>sessment must occur in simulated conditions involving realistic and authentic activities that replicate operational workplace conditions.</w:t>
            </w:r>
          </w:p>
          <w:p w:rsidR="00000000" w:rsidRPr="003B1700" w:rsidP="003B1700">
            <w:pPr>
              <w:pStyle w:val="BodyText"/>
            </w:pPr>
            <w:r w:rsidRPr="003B1700">
              <w:t xml:space="preserve">Assessment processes and techniques must be appropriate to the language, literacy and numeracy </w:t>
            </w:r>
            <w:r w:rsidRPr="003B1700">
              <w:t>requirements of the wor</w:t>
            </w:r>
            <w:r w:rsidRPr="003B1700">
              <w:t>k being performed and the needs of the candidate.</w:t>
            </w:r>
          </w:p>
          <w:p w:rsidR="00000000" w:rsidRPr="003B1700" w:rsidP="003B1700">
            <w:pPr>
              <w:pStyle w:val="BodyText"/>
            </w:pPr>
            <w:r w:rsidRPr="003B1700">
              <w:t>Resources for assessment must include access to:</w:t>
            </w:r>
          </w:p>
          <w:p w:rsidR="00000000" w:rsidRPr="003B1700" w:rsidP="003B1700">
            <w:pPr>
              <w:pStyle w:val="ListBullet"/>
            </w:pPr>
            <w:r w:rsidRPr="003B1700">
              <w:t>relevant and appropriate materials, tools, facilities, equipment and PPE currently used in industry for maintaining rail traction bonds</w:t>
            </w:r>
          </w:p>
          <w:p w:rsidR="00000000" w:rsidRPr="003B1700" w:rsidP="003B1700">
            <w:pPr>
              <w:pStyle w:val="ListBullet"/>
            </w:pPr>
            <w:r w:rsidRPr="003B1700">
              <w:t>applicable documenta</w:t>
            </w:r>
            <w:r w:rsidRPr="003B1700">
              <w:t>tion, including workplace requirements, maintenance documents, equipment specifications, regulations, codes of practice and operation manuals.</w:t>
            </w:r>
          </w:p>
        </w:tc>
      </w:tr>
    </w:tbl>
    <w:p w:rsidR="00000000" w:rsidRPr="003B1700" w:rsidP="003B1700">
      <w:pPr>
        <w:pStyle w:val="NoPaddingFontSize1"/>
      </w:pPr>
    </w:p>
    <w:p w:rsidR="00000000" w:rsidRPr="003B1700" w:rsidP="003B1700">
      <w:pPr>
        <w:pStyle w:val="AllowPageBreak"/>
      </w:pPr>
    </w:p>
    <w:p w:rsidR="00000000" w:rsidRPr="003B1700" w:rsidP="003B1700">
      <w:pPr>
        <w:pStyle w:val="Heading1"/>
      </w:pPr>
      <w:bookmarkStart w:id="5" w:name="O_1179969"/>
      <w:bookmarkEnd w:id="5"/>
      <w:r w:rsidRPr="003B1700">
        <w:t>Links</w:t>
      </w:r>
    </w:p>
    <w:p w:rsidR="00000000" w:rsidRPr="003B1700" w:rsidP="00F23EE7">
      <w:pPr>
        <w:pStyle w:val="BodyText"/>
      </w:pPr>
      <w:r w:rsidRPr="003B1700">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967F7D">
        <w:rPr>
          <w:rStyle w:val="Hyperlink"/>
        </w:rPr>
        <w:t>https://vetnet.gov.au/Pages/TrainingDocs.aspx?q=229bace1-b7bc-4653-9300-dffb13ecfad7</w:t>
      </w:r>
      <w:r>
        <w:fldChar w:fldCharType="end"/>
      </w:r>
    </w:p>
    <w:p w:rsidR="00000000" w:rsidRPr="003B1700" w:rsidP="003B1700"/>
    <w:sectPr w:rsidSect="003B17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0" w:rsidRPr="00F23EE7" w:rsidP="00F23E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E7" w:rsidP="003B17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3EE7" w:rsidP="003B17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3EE7" w:rsidP="003B17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1700" w:rsidRPr="00F23EE7" w:rsidP="00F23E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17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EE7" w:rsidRPr="002D2AF8" w:rsidP="003B1700">
    <w:pPr>
      <w:pStyle w:val="Header"/>
      <w:framePr w:wrap="around"/>
    </w:pPr>
    <w:r>
      <w:fldChar w:fldCharType="begin"/>
    </w:r>
    <w:r>
      <w:instrText xml:space="preserve"> TITLE   \* MERGEFORMAT </w:instrText>
    </w:r>
    <w:r>
      <w:fldChar w:fldCharType="separate"/>
    </w:r>
    <w:r>
      <w:t>Assessment Requirements for UETDRRT010 Maintain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F23EE7" w:rsidP="003B17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C69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004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3EDF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7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1700"/>
    <w:pPr>
      <w:spacing w:before="360" w:after="60"/>
      <w:outlineLvl w:val="0"/>
    </w:pPr>
    <w:rPr>
      <w:sz w:val="32"/>
    </w:rPr>
  </w:style>
  <w:style w:type="paragraph" w:styleId="Heading2">
    <w:name w:val="heading 2"/>
    <w:basedOn w:val="HeadingBase"/>
    <w:next w:val="BodyText"/>
    <w:link w:val="Heading2Char"/>
    <w:qFormat/>
    <w:rsid w:val="003B1700"/>
    <w:pPr>
      <w:keepLines/>
      <w:spacing w:before="240" w:after="120"/>
      <w:outlineLvl w:val="1"/>
    </w:pPr>
    <w:rPr>
      <w:sz w:val="28"/>
      <w:szCs w:val="40"/>
    </w:rPr>
  </w:style>
  <w:style w:type="paragraph" w:styleId="Heading3">
    <w:name w:val="heading 3"/>
    <w:basedOn w:val="HeadingBase"/>
    <w:next w:val="BodyText"/>
    <w:link w:val="Heading3Char"/>
    <w:qFormat/>
    <w:rsid w:val="003B1700"/>
    <w:pPr>
      <w:spacing w:before="180" w:after="120"/>
      <w:outlineLvl w:val="2"/>
    </w:pPr>
    <w:rPr>
      <w:spacing w:val="-10"/>
      <w:kern w:val="32"/>
    </w:rPr>
  </w:style>
  <w:style w:type="paragraph" w:styleId="Heading4">
    <w:name w:val="heading 4"/>
    <w:basedOn w:val="HeadingBase"/>
    <w:next w:val="BodyText"/>
    <w:link w:val="Heading4Char"/>
    <w:qFormat/>
    <w:rsid w:val="003B1700"/>
    <w:pPr>
      <w:spacing w:before="160" w:after="120"/>
      <w:outlineLvl w:val="3"/>
    </w:pPr>
    <w:rPr>
      <w:sz w:val="22"/>
    </w:rPr>
  </w:style>
  <w:style w:type="paragraph" w:styleId="Heading5">
    <w:name w:val="heading 5"/>
    <w:basedOn w:val="HeadingBase"/>
    <w:next w:val="Normal"/>
    <w:link w:val="Heading5Char"/>
    <w:qFormat/>
    <w:rsid w:val="003B1700"/>
    <w:pPr>
      <w:spacing w:before="80"/>
      <w:outlineLvl w:val="4"/>
    </w:pPr>
    <w:rPr>
      <w:color w:val="918585"/>
      <w:sz w:val="20"/>
    </w:rPr>
  </w:style>
  <w:style w:type="paragraph" w:styleId="Heading6">
    <w:name w:val="heading 6"/>
    <w:basedOn w:val="HeadingBase"/>
    <w:next w:val="Normal"/>
    <w:link w:val="Heading6Char"/>
    <w:qFormat/>
    <w:rsid w:val="003B1700"/>
    <w:pPr>
      <w:spacing w:before="60"/>
      <w:outlineLvl w:val="5"/>
    </w:pPr>
    <w:rPr>
      <w:color w:val="918585"/>
      <w:sz w:val="20"/>
    </w:rPr>
  </w:style>
  <w:style w:type="paragraph" w:styleId="Heading7">
    <w:name w:val="heading 7"/>
    <w:basedOn w:val="Normal"/>
    <w:next w:val="Normal"/>
    <w:link w:val="Heading7Char"/>
    <w:qFormat/>
    <w:rsid w:val="003B1700"/>
    <w:pPr>
      <w:ind w:left="720"/>
      <w:outlineLvl w:val="6"/>
    </w:pPr>
    <w:rPr>
      <w:i/>
    </w:rPr>
  </w:style>
  <w:style w:type="paragraph" w:styleId="Heading8">
    <w:name w:val="heading 8"/>
    <w:basedOn w:val="Normal"/>
    <w:next w:val="Normal"/>
    <w:link w:val="Heading8Char"/>
    <w:qFormat/>
    <w:rsid w:val="003B1700"/>
    <w:pPr>
      <w:ind w:left="720"/>
      <w:outlineLvl w:val="7"/>
    </w:pPr>
    <w:rPr>
      <w:i/>
    </w:rPr>
  </w:style>
  <w:style w:type="paragraph" w:styleId="Heading9">
    <w:name w:val="heading 9"/>
    <w:basedOn w:val="Normal"/>
    <w:next w:val="Normal"/>
    <w:link w:val="Heading9Char"/>
    <w:qFormat/>
    <w:rsid w:val="003B1700"/>
    <w:pPr>
      <w:ind w:left="720"/>
      <w:outlineLvl w:val="8"/>
    </w:pPr>
    <w:rPr>
      <w:i/>
    </w:rPr>
  </w:style>
  <w:style w:type="character" w:default="1" w:styleId="DefaultParagraphFont">
    <w:name w:val="Default Paragraph Font"/>
    <w:uiPriority w:val="1"/>
    <w:unhideWhenUsed/>
    <w:rsid w:val="003B17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1700"/>
  </w:style>
  <w:style w:type="character" w:customStyle="1" w:styleId="Heading1Char">
    <w:name w:val="Heading 1 Char"/>
    <w:basedOn w:val="DefaultParagraphFont"/>
    <w:link w:val="Heading1"/>
    <w:rsid w:val="003B1700"/>
    <w:rPr>
      <w:rFonts w:ascii="Times New Roman" w:eastAsia="Times New Roman" w:hAnsi="Times New Roman" w:cs="Times New Roman"/>
      <w:b/>
      <w:sz w:val="32"/>
      <w:szCs w:val="20"/>
      <w:lang w:eastAsia="en-US"/>
    </w:rPr>
  </w:style>
  <w:style w:type="paragraph" w:styleId="BodyText">
    <w:name w:val="Body Text"/>
    <w:basedOn w:val="Normal"/>
    <w:link w:val="BodyTextChar"/>
    <w:rsid w:val="003B17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1700"/>
    <w:rPr>
      <w:rFonts w:ascii="Times New Roman" w:eastAsia="Times New Roman" w:hAnsi="Times New Roman" w:cs="Times New Roman"/>
      <w:sz w:val="24"/>
      <w:lang w:eastAsia="en-US"/>
    </w:rPr>
  </w:style>
  <w:style w:type="paragraph" w:styleId="ListBullet">
    <w:name w:val="List Bullet"/>
    <w:basedOn w:val="List"/>
    <w:rsid w:val="003B1700"/>
    <w:pPr>
      <w:numPr>
        <w:numId w:val="12"/>
      </w:numPr>
      <w:tabs>
        <w:tab w:val="clear" w:pos="340"/>
      </w:tabs>
      <w:spacing w:before="40" w:after="40"/>
    </w:pPr>
  </w:style>
  <w:style w:type="paragraph" w:styleId="ListBullet2">
    <w:name w:val="List Bullet 2"/>
    <w:basedOn w:val="List2"/>
    <w:rsid w:val="003B1700"/>
    <w:pPr>
      <w:numPr>
        <w:numId w:val="13"/>
      </w:numPr>
      <w:tabs>
        <w:tab w:val="clear" w:pos="680"/>
      </w:tabs>
    </w:pPr>
  </w:style>
  <w:style w:type="paragraph" w:customStyle="1" w:styleId="SuperHeading">
    <w:name w:val="SuperHeading"/>
    <w:basedOn w:val="Normal"/>
    <w:rsid w:val="003B1700"/>
    <w:pPr>
      <w:spacing w:before="240" w:after="120"/>
      <w:outlineLvl w:val="0"/>
    </w:pPr>
    <w:rPr>
      <w:rFonts w:ascii="Times New Roman" w:hAnsi="Times New Roman"/>
      <w:b/>
      <w:sz w:val="32"/>
    </w:rPr>
  </w:style>
  <w:style w:type="paragraph" w:customStyle="1" w:styleId="AllowPageBreak">
    <w:name w:val="AllowPageBreak"/>
    <w:rsid w:val="003B170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17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17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17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17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17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17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17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1700"/>
    <w:rPr>
      <w:rFonts w:ascii="Courier New" w:eastAsia="Times New Roman" w:hAnsi="Courier New" w:cs="Times New Roman"/>
      <w:i/>
      <w:szCs w:val="20"/>
      <w:lang w:eastAsia="en-US"/>
    </w:rPr>
  </w:style>
  <w:style w:type="paragraph" w:customStyle="1" w:styleId="HeadingBase">
    <w:name w:val="Heading Base"/>
    <w:rsid w:val="003B17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1700"/>
    <w:pPr>
      <w:tabs>
        <w:tab w:val="right" w:leader="dot" w:pos="9072"/>
      </w:tabs>
      <w:ind w:left="567"/>
    </w:pPr>
    <w:rPr>
      <w:szCs w:val="22"/>
    </w:rPr>
  </w:style>
  <w:style w:type="paragraph" w:customStyle="1" w:styleId="TOCBase">
    <w:name w:val="TOC Base"/>
    <w:rsid w:val="003B17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1700"/>
    <w:pPr>
      <w:tabs>
        <w:tab w:val="right" w:leader="dot" w:pos="9072"/>
      </w:tabs>
      <w:spacing w:before="40" w:after="40"/>
      <w:ind w:left="284"/>
    </w:pPr>
    <w:rPr>
      <w:rFonts w:ascii="Times New Roman" w:hAnsi="Times New Roman"/>
    </w:rPr>
  </w:style>
  <w:style w:type="paragraph" w:styleId="TOC1">
    <w:name w:val="toc 1"/>
    <w:basedOn w:val="TOCBase"/>
    <w:next w:val="Normal"/>
    <w:rsid w:val="003B17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17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1700"/>
    <w:rPr>
      <w:rFonts w:ascii="Times New Roman" w:eastAsia="Times New Roman" w:hAnsi="Times New Roman" w:cs="Times New Roman"/>
      <w:sz w:val="16"/>
      <w:lang w:eastAsia="en-US"/>
    </w:rPr>
  </w:style>
  <w:style w:type="paragraph" w:styleId="Title">
    <w:name w:val="Title"/>
    <w:basedOn w:val="HeadingBase"/>
    <w:link w:val="TitleChar"/>
    <w:qFormat/>
    <w:rsid w:val="003B1700"/>
    <w:pPr>
      <w:spacing w:before="5040"/>
      <w:jc w:val="center"/>
    </w:pPr>
    <w:rPr>
      <w:sz w:val="48"/>
      <w:szCs w:val="72"/>
      <w:lang w:val="en-US"/>
    </w:rPr>
  </w:style>
  <w:style w:type="character" w:customStyle="1" w:styleId="TitleChar">
    <w:name w:val="Title Char"/>
    <w:basedOn w:val="DefaultParagraphFont"/>
    <w:link w:val="Title"/>
    <w:rsid w:val="003B17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1700"/>
    <w:pPr>
      <w:tabs>
        <w:tab w:val="left" w:pos="3600"/>
        <w:tab w:val="left" w:pos="3958"/>
      </w:tabs>
    </w:pPr>
  </w:style>
  <w:style w:type="paragraph" w:styleId="List">
    <w:name w:val="List"/>
    <w:basedOn w:val="BodyText"/>
    <w:next w:val="BodyText"/>
    <w:rsid w:val="003B1700"/>
    <w:pPr>
      <w:tabs>
        <w:tab w:val="left" w:pos="340"/>
      </w:tabs>
      <w:spacing w:before="60" w:after="60"/>
      <w:ind w:left="340" w:hanging="340"/>
    </w:pPr>
  </w:style>
  <w:style w:type="paragraph" w:customStyle="1" w:styleId="Note">
    <w:name w:val="Note"/>
    <w:basedOn w:val="BodyText"/>
    <w:rsid w:val="003B170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1700"/>
    <w:rPr>
      <w:b/>
      <w:spacing w:val="0"/>
    </w:rPr>
  </w:style>
  <w:style w:type="paragraph" w:customStyle="1" w:styleId="SuperTitle">
    <w:name w:val="SuperTitle"/>
    <w:basedOn w:val="Title"/>
    <w:rsid w:val="003B1700"/>
    <w:pPr>
      <w:framePr w:wrap="auto" w:hAnchor="text" w:y="6049"/>
    </w:pPr>
    <w:rPr>
      <w:color w:val="000000"/>
      <w:sz w:val="40"/>
    </w:rPr>
  </w:style>
  <w:style w:type="paragraph" w:customStyle="1" w:styleId="TOCTitle">
    <w:name w:val="TOCTitle"/>
    <w:basedOn w:val="Heading1"/>
    <w:rsid w:val="003B1700"/>
    <w:pPr>
      <w:spacing w:after="240"/>
      <w:jc w:val="center"/>
      <w:outlineLvl w:val="9"/>
    </w:pPr>
    <w:rPr>
      <w:caps/>
    </w:rPr>
  </w:style>
  <w:style w:type="paragraph" w:customStyle="1" w:styleId="Version">
    <w:name w:val="Version"/>
    <w:rsid w:val="003B17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1700"/>
    <w:pPr>
      <w:keepNext w:val="0"/>
      <w:tabs>
        <w:tab w:val="right" w:pos="4176"/>
      </w:tabs>
      <w:ind w:left="198" w:hanging="198"/>
    </w:pPr>
    <w:rPr>
      <w:rFonts w:ascii="Garamond" w:hAnsi="Garamond"/>
    </w:rPr>
  </w:style>
  <w:style w:type="paragraph" w:styleId="IndexHeading">
    <w:name w:val="index heading"/>
    <w:basedOn w:val="Normal"/>
    <w:next w:val="Index1"/>
    <w:semiHidden/>
    <w:rsid w:val="003B1700"/>
    <w:pPr>
      <w:spacing w:before="120" w:after="120"/>
    </w:pPr>
    <w:rPr>
      <w:rFonts w:ascii="Arial" w:hAnsi="Arial"/>
      <w:b/>
      <w:color w:val="918585"/>
      <w:sz w:val="24"/>
    </w:rPr>
  </w:style>
  <w:style w:type="paragraph" w:styleId="Header">
    <w:name w:val="header"/>
    <w:basedOn w:val="Normal"/>
    <w:link w:val="HeaderChar"/>
    <w:rsid w:val="003B17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1700"/>
    <w:rPr>
      <w:rFonts w:ascii="Times New Roman" w:eastAsia="Times New Roman" w:hAnsi="Times New Roman" w:cs="Times New Roman"/>
      <w:sz w:val="16"/>
      <w:szCs w:val="20"/>
      <w:lang w:val="en-GB" w:eastAsia="en-US"/>
    </w:rPr>
  </w:style>
  <w:style w:type="paragraph" w:customStyle="1" w:styleId="Chapter">
    <w:name w:val="Chapter"/>
    <w:basedOn w:val="Normal"/>
    <w:rsid w:val="003B1700"/>
    <w:pPr>
      <w:spacing w:before="240"/>
    </w:pPr>
    <w:rPr>
      <w:rFonts w:ascii="Times New Roman" w:hAnsi="Times New Roman"/>
      <w:smallCaps/>
      <w:spacing w:val="80"/>
      <w:sz w:val="28"/>
    </w:rPr>
  </w:style>
  <w:style w:type="paragraph" w:customStyle="1" w:styleId="InChapter">
    <w:name w:val="InChapter"/>
    <w:basedOn w:val="Heading3"/>
    <w:rsid w:val="003B1700"/>
    <w:pPr>
      <w:spacing w:after="240"/>
      <w:outlineLvl w:val="9"/>
    </w:pPr>
    <w:rPr>
      <w:noProof/>
    </w:rPr>
  </w:style>
  <w:style w:type="paragraph" w:styleId="Index2">
    <w:name w:val="index 2"/>
    <w:basedOn w:val="Normal"/>
    <w:next w:val="Normal"/>
    <w:semiHidden/>
    <w:rsid w:val="003B1700"/>
    <w:pPr>
      <w:tabs>
        <w:tab w:val="right" w:pos="4176"/>
      </w:tabs>
      <w:ind w:left="568" w:hanging="284"/>
    </w:pPr>
    <w:rPr>
      <w:rFonts w:ascii="Garamond" w:hAnsi="Garamond"/>
    </w:rPr>
  </w:style>
  <w:style w:type="paragraph" w:customStyle="1" w:styleId="Byline">
    <w:name w:val="Byline"/>
    <w:rsid w:val="003B17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1700"/>
    <w:pPr>
      <w:tabs>
        <w:tab w:val="clear" w:pos="3600"/>
        <w:tab w:val="clear" w:pos="3958"/>
      </w:tabs>
      <w:jc w:val="right"/>
    </w:pPr>
  </w:style>
  <w:style w:type="character" w:styleId="Emphasis">
    <w:name w:val="Emphasis"/>
    <w:basedOn w:val="DefaultParagraphFont"/>
    <w:qFormat/>
    <w:rsid w:val="003B1700"/>
    <w:rPr>
      <w:i/>
    </w:rPr>
  </w:style>
  <w:style w:type="paragraph" w:styleId="Caption">
    <w:name w:val="caption"/>
    <w:basedOn w:val="BodyText"/>
    <w:next w:val="Normal"/>
    <w:qFormat/>
    <w:rsid w:val="003B1700"/>
    <w:pPr>
      <w:framePr w:w="2268" w:hSpace="181" w:vSpace="181" w:wrap="around" w:vAnchor="text" w:hAnchor="page" w:x="1135" w:y="285" w:anchorLock="1"/>
    </w:pPr>
    <w:rPr>
      <w:i/>
    </w:rPr>
  </w:style>
  <w:style w:type="paragraph" w:customStyle="1" w:styleId="MiniTOCTitle">
    <w:name w:val="MiniTOCTitle"/>
    <w:basedOn w:val="Heading4"/>
    <w:rsid w:val="003B1700"/>
    <w:pPr>
      <w:spacing w:before="240"/>
      <w:outlineLvl w:val="9"/>
    </w:pPr>
    <w:rPr>
      <w:noProof/>
      <w:sz w:val="24"/>
    </w:rPr>
  </w:style>
  <w:style w:type="paragraph" w:customStyle="1" w:styleId="MiniTOCItem">
    <w:name w:val="MiniTOCItem"/>
    <w:basedOn w:val="ListBullet"/>
    <w:rsid w:val="003B1700"/>
    <w:pPr>
      <w:numPr>
        <w:numId w:val="0"/>
      </w:numPr>
      <w:tabs>
        <w:tab w:val="right" w:leader="dot" w:pos="6521"/>
      </w:tabs>
      <w:spacing w:before="0" w:after="0"/>
    </w:pPr>
  </w:style>
  <w:style w:type="paragraph" w:customStyle="1" w:styleId="TOFTitle">
    <w:name w:val="TOFTitle"/>
    <w:basedOn w:val="TOCTitle"/>
    <w:rsid w:val="003B1700"/>
  </w:style>
  <w:style w:type="paragraph" w:styleId="TableofFigures">
    <w:name w:val="table of figures"/>
    <w:basedOn w:val="Normal"/>
    <w:next w:val="Normal"/>
    <w:semiHidden/>
    <w:rsid w:val="003B1700"/>
    <w:pPr>
      <w:tabs>
        <w:tab w:val="right" w:leader="dot" w:pos="9072"/>
      </w:tabs>
      <w:ind w:left="970" w:hanging="403"/>
    </w:pPr>
    <w:rPr>
      <w:rFonts w:ascii="Times New Roman" w:hAnsi="Times New Roman"/>
      <w:b/>
    </w:rPr>
  </w:style>
  <w:style w:type="paragraph" w:styleId="ListNumber">
    <w:name w:val="List Number"/>
    <w:basedOn w:val="List"/>
    <w:rsid w:val="003B1700"/>
    <w:pPr>
      <w:numPr>
        <w:numId w:val="15"/>
      </w:numPr>
      <w:tabs>
        <w:tab w:val="clear" w:pos="340"/>
      </w:tabs>
    </w:pPr>
  </w:style>
  <w:style w:type="character" w:customStyle="1" w:styleId="WingdingSymbols">
    <w:name w:val="Wingding Symbols"/>
    <w:rsid w:val="003B1700"/>
    <w:rPr>
      <w:rFonts w:ascii="Wingdings" w:hAnsi="Wingdings"/>
    </w:rPr>
  </w:style>
  <w:style w:type="paragraph" w:customStyle="1" w:styleId="TableHeading">
    <w:name w:val="Table Heading"/>
    <w:basedOn w:val="HeadingBase"/>
    <w:rsid w:val="003B1700"/>
    <w:pPr>
      <w:keepLines/>
      <w:pBdr>
        <w:bottom w:val="single" w:sz="6" w:space="1" w:color="918585"/>
      </w:pBdr>
      <w:spacing w:before="240"/>
    </w:pPr>
  </w:style>
  <w:style w:type="character" w:customStyle="1" w:styleId="HotSpot">
    <w:name w:val="HotSpot"/>
    <w:rsid w:val="003B1700"/>
    <w:rPr>
      <w:color w:val="0033CC"/>
      <w:u w:val="none"/>
    </w:rPr>
  </w:style>
  <w:style w:type="paragraph" w:customStyle="1" w:styleId="BodyTextRight">
    <w:name w:val="Body Text Right"/>
    <w:basedOn w:val="BodyText"/>
    <w:rsid w:val="003B1700"/>
    <w:pPr>
      <w:spacing w:before="0" w:after="0"/>
      <w:jc w:val="right"/>
    </w:pPr>
  </w:style>
  <w:style w:type="paragraph" w:styleId="Index3">
    <w:name w:val="index 3"/>
    <w:basedOn w:val="ListNumber2"/>
    <w:next w:val="Normal"/>
    <w:semiHidden/>
    <w:rsid w:val="003B1700"/>
    <w:pPr>
      <w:numPr>
        <w:numId w:val="0"/>
      </w:numPr>
      <w:tabs>
        <w:tab w:val="right" w:leader="dot" w:pos="4176"/>
      </w:tabs>
    </w:pPr>
  </w:style>
  <w:style w:type="paragraph" w:styleId="ListNumber2">
    <w:name w:val="List Number 2"/>
    <w:basedOn w:val="List2"/>
    <w:rsid w:val="003B1700"/>
    <w:pPr>
      <w:numPr>
        <w:numId w:val="10"/>
      </w:numPr>
      <w:tabs>
        <w:tab w:val="clear" w:pos="1060"/>
      </w:tabs>
    </w:pPr>
  </w:style>
  <w:style w:type="paragraph" w:customStyle="1" w:styleId="MarginNote">
    <w:name w:val="Margin Note"/>
    <w:basedOn w:val="BodyText"/>
    <w:rsid w:val="003B17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17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17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1700"/>
    <w:rPr>
      <w:sz w:val="32"/>
    </w:rPr>
  </w:style>
  <w:style w:type="paragraph" w:customStyle="1" w:styleId="HeadingProcedure">
    <w:name w:val="Heading Procedure"/>
    <w:basedOn w:val="HeadingBase"/>
    <w:next w:val="Normal"/>
    <w:rsid w:val="003B1700"/>
    <w:pPr>
      <w:tabs>
        <w:tab w:val="left" w:pos="0"/>
      </w:tabs>
      <w:spacing w:before="120" w:after="60"/>
    </w:pPr>
    <w:rPr>
      <w:i/>
      <w:color w:val="918585"/>
      <w:sz w:val="22"/>
    </w:rPr>
  </w:style>
  <w:style w:type="paragraph" w:customStyle="1" w:styleId="TableBodyText">
    <w:name w:val="Table Body Text"/>
    <w:basedOn w:val="BodyText"/>
    <w:rsid w:val="003B1700"/>
    <w:pPr>
      <w:spacing w:before="60" w:after="60"/>
    </w:pPr>
  </w:style>
  <w:style w:type="paragraph" w:styleId="ListContinue">
    <w:name w:val="List Continue"/>
    <w:basedOn w:val="List"/>
    <w:rsid w:val="003B1700"/>
    <w:pPr>
      <w:ind w:firstLine="0"/>
    </w:pPr>
  </w:style>
  <w:style w:type="paragraph" w:customStyle="1" w:styleId="ListNote">
    <w:name w:val="List Note"/>
    <w:basedOn w:val="List"/>
    <w:rsid w:val="003B1700"/>
    <w:pPr>
      <w:pBdr>
        <w:top w:val="single" w:sz="6" w:space="2" w:color="918585"/>
        <w:bottom w:val="single" w:sz="6" w:space="2" w:color="918585"/>
      </w:pBdr>
      <w:tabs>
        <w:tab w:val="left" w:pos="1021"/>
      </w:tabs>
      <w:ind w:firstLine="0"/>
    </w:pPr>
  </w:style>
  <w:style w:type="paragraph" w:customStyle="1" w:styleId="Warning">
    <w:name w:val="Warning"/>
    <w:basedOn w:val="BodyText"/>
    <w:rsid w:val="003B1700"/>
    <w:pPr>
      <w:shd w:val="clear" w:color="auto" w:fill="D9D9D9"/>
      <w:tabs>
        <w:tab w:val="left" w:pos="992"/>
      </w:tabs>
      <w:ind w:left="119" w:right="119"/>
    </w:pPr>
    <w:rPr>
      <w:sz w:val="20"/>
    </w:rPr>
  </w:style>
  <w:style w:type="paragraph" w:customStyle="1" w:styleId="MarginIcons">
    <w:name w:val="Margin Icons"/>
    <w:basedOn w:val="BodyText"/>
    <w:rsid w:val="003B17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1700"/>
    <w:rPr>
      <w:rFonts w:ascii="Courier New" w:hAnsi="Courier New"/>
    </w:rPr>
  </w:style>
  <w:style w:type="paragraph" w:customStyle="1" w:styleId="NoteBullet">
    <w:name w:val="Note Bullet"/>
    <w:basedOn w:val="Note"/>
    <w:rsid w:val="003B1700"/>
    <w:pPr>
      <w:tabs>
        <w:tab w:val="clear" w:pos="680"/>
      </w:tabs>
      <w:spacing w:before="60" w:after="60"/>
    </w:pPr>
  </w:style>
  <w:style w:type="paragraph" w:customStyle="1" w:styleId="SubHeading2">
    <w:name w:val="SubHeading2"/>
    <w:basedOn w:val="HeadingBase"/>
    <w:rsid w:val="003B1700"/>
    <w:pPr>
      <w:spacing w:before="240" w:after="60"/>
    </w:pPr>
    <w:rPr>
      <w:sz w:val="20"/>
    </w:rPr>
  </w:style>
  <w:style w:type="paragraph" w:customStyle="1" w:styleId="SubHeading1">
    <w:name w:val="SubHeading1"/>
    <w:basedOn w:val="HeadingBase"/>
    <w:rsid w:val="003B1700"/>
    <w:pPr>
      <w:spacing w:before="240" w:after="60"/>
    </w:pPr>
    <w:rPr>
      <w:color w:val="918585"/>
      <w:sz w:val="22"/>
    </w:rPr>
  </w:style>
  <w:style w:type="paragraph" w:customStyle="1" w:styleId="SideHeading">
    <w:name w:val="Side Heading"/>
    <w:basedOn w:val="HeadingBase"/>
    <w:rsid w:val="003B17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1700"/>
    <w:pPr>
      <w:tabs>
        <w:tab w:val="num" w:pos="360"/>
      </w:tabs>
    </w:pPr>
  </w:style>
  <w:style w:type="paragraph" w:styleId="PlainText">
    <w:name w:val="Plain Text"/>
    <w:basedOn w:val="Normal"/>
    <w:link w:val="PlainTextChar"/>
    <w:rsid w:val="003B1700"/>
    <w:rPr>
      <w:sz w:val="20"/>
    </w:rPr>
  </w:style>
  <w:style w:type="character" w:customStyle="1" w:styleId="PlainTextChar">
    <w:name w:val="Plain Text Char"/>
    <w:basedOn w:val="DefaultParagraphFont"/>
    <w:link w:val="PlainText"/>
    <w:rsid w:val="003B1700"/>
    <w:rPr>
      <w:rFonts w:ascii="Courier New" w:eastAsia="Times New Roman" w:hAnsi="Courier New" w:cs="Times New Roman"/>
      <w:sz w:val="20"/>
      <w:szCs w:val="20"/>
      <w:lang w:eastAsia="en-US"/>
    </w:rPr>
  </w:style>
  <w:style w:type="character" w:customStyle="1" w:styleId="MenuOption">
    <w:name w:val="Menu Option"/>
    <w:basedOn w:val="DefaultParagraphFont"/>
    <w:rsid w:val="003B1700"/>
    <w:rPr>
      <w:b/>
      <w:smallCaps/>
    </w:rPr>
  </w:style>
  <w:style w:type="paragraph" w:customStyle="1" w:styleId="TableListNumber">
    <w:name w:val="Table List Number"/>
    <w:basedOn w:val="ListNumber"/>
    <w:rsid w:val="003B1700"/>
    <w:pPr>
      <w:numPr>
        <w:numId w:val="0"/>
      </w:numPr>
    </w:pPr>
  </w:style>
  <w:style w:type="paragraph" w:styleId="TOC4">
    <w:name w:val="toc 4"/>
    <w:basedOn w:val="TOCBase"/>
    <w:next w:val="Normal"/>
    <w:semiHidden/>
    <w:rsid w:val="003B1700"/>
    <w:pPr>
      <w:tabs>
        <w:tab w:val="right" w:leader="dot" w:pos="9071"/>
      </w:tabs>
      <w:ind w:left="1701"/>
    </w:pPr>
  </w:style>
  <w:style w:type="paragraph" w:customStyle="1" w:styleId="ListAlpha">
    <w:name w:val="List Alpha"/>
    <w:basedOn w:val="List"/>
    <w:rsid w:val="003B1700"/>
    <w:pPr>
      <w:numPr>
        <w:numId w:val="9"/>
      </w:numPr>
    </w:pPr>
  </w:style>
  <w:style w:type="paragraph" w:customStyle="1" w:styleId="ListAlpha2">
    <w:name w:val="List Alpha 2"/>
    <w:basedOn w:val="List2"/>
    <w:rsid w:val="003B1700"/>
    <w:pPr>
      <w:numPr>
        <w:numId w:val="8"/>
      </w:numPr>
    </w:pPr>
  </w:style>
  <w:style w:type="paragraph" w:styleId="List2">
    <w:name w:val="List 2"/>
    <w:basedOn w:val="BodyText"/>
    <w:rsid w:val="003B1700"/>
    <w:pPr>
      <w:tabs>
        <w:tab w:val="left" w:pos="680"/>
      </w:tabs>
      <w:spacing w:before="60" w:after="60"/>
      <w:ind w:left="680" w:hanging="340"/>
    </w:pPr>
  </w:style>
  <w:style w:type="paragraph" w:styleId="List3">
    <w:name w:val="List 3"/>
    <w:basedOn w:val="BodyText"/>
    <w:rsid w:val="003B1700"/>
    <w:pPr>
      <w:tabs>
        <w:tab w:val="left" w:pos="1021"/>
      </w:tabs>
      <w:spacing w:before="60" w:after="60"/>
      <w:ind w:left="1020" w:hanging="340"/>
    </w:pPr>
  </w:style>
  <w:style w:type="paragraph" w:styleId="List4">
    <w:name w:val="List 4"/>
    <w:basedOn w:val="BodyText"/>
    <w:rsid w:val="003B1700"/>
    <w:pPr>
      <w:tabs>
        <w:tab w:val="left" w:pos="1361"/>
      </w:tabs>
      <w:spacing w:before="60" w:after="60"/>
      <w:ind w:left="1361" w:hanging="340"/>
    </w:pPr>
  </w:style>
  <w:style w:type="paragraph" w:styleId="List5">
    <w:name w:val="List 5"/>
    <w:basedOn w:val="BodyText"/>
    <w:rsid w:val="003B1700"/>
    <w:pPr>
      <w:tabs>
        <w:tab w:val="left" w:pos="1701"/>
      </w:tabs>
      <w:spacing w:before="60" w:after="60"/>
      <w:ind w:left="1701" w:hanging="340"/>
    </w:pPr>
  </w:style>
  <w:style w:type="paragraph" w:styleId="ListBullet3">
    <w:name w:val="List Bullet 3"/>
    <w:basedOn w:val="List3"/>
    <w:rsid w:val="003B1700"/>
    <w:pPr>
      <w:numPr>
        <w:numId w:val="14"/>
      </w:numPr>
      <w:tabs>
        <w:tab w:val="clear" w:pos="1021"/>
      </w:tabs>
      <w:ind w:left="1037" w:hanging="357"/>
    </w:pPr>
  </w:style>
  <w:style w:type="paragraph" w:styleId="ListBullet4">
    <w:name w:val="List Bullet 4"/>
    <w:basedOn w:val="List4"/>
    <w:rsid w:val="003B1700"/>
    <w:pPr>
      <w:numPr>
        <w:numId w:val="3"/>
      </w:numPr>
      <w:tabs>
        <w:tab w:val="clear" w:pos="1361"/>
      </w:tabs>
    </w:pPr>
  </w:style>
  <w:style w:type="paragraph" w:styleId="ListBullet5">
    <w:name w:val="List Bullet 5"/>
    <w:basedOn w:val="List5"/>
    <w:rsid w:val="003B1700"/>
    <w:pPr>
      <w:numPr>
        <w:numId w:val="4"/>
      </w:numPr>
    </w:pPr>
  </w:style>
  <w:style w:type="paragraph" w:styleId="ListContinue2">
    <w:name w:val="List Continue 2"/>
    <w:basedOn w:val="List2"/>
    <w:rsid w:val="003B1700"/>
    <w:pPr>
      <w:ind w:firstLine="0"/>
    </w:pPr>
  </w:style>
  <w:style w:type="paragraph" w:styleId="ListContinue3">
    <w:name w:val="List Continue 3"/>
    <w:basedOn w:val="List3"/>
    <w:rsid w:val="003B1700"/>
    <w:pPr>
      <w:ind w:left="1021" w:firstLine="0"/>
    </w:pPr>
  </w:style>
  <w:style w:type="paragraph" w:styleId="ListContinue4">
    <w:name w:val="List Continue 4"/>
    <w:basedOn w:val="List4"/>
    <w:rsid w:val="003B1700"/>
    <w:pPr>
      <w:ind w:firstLine="0"/>
    </w:pPr>
  </w:style>
  <w:style w:type="paragraph" w:styleId="ListContinue5">
    <w:name w:val="List Continue 5"/>
    <w:basedOn w:val="List5"/>
    <w:rsid w:val="003B1700"/>
    <w:pPr>
      <w:ind w:firstLine="0"/>
    </w:pPr>
  </w:style>
  <w:style w:type="paragraph" w:styleId="ListNumber3">
    <w:name w:val="List Number 3"/>
    <w:basedOn w:val="List3"/>
    <w:rsid w:val="003B1700"/>
    <w:pPr>
      <w:numPr>
        <w:numId w:val="5"/>
      </w:numPr>
    </w:pPr>
  </w:style>
  <w:style w:type="paragraph" w:styleId="ListNumber4">
    <w:name w:val="List Number 4"/>
    <w:basedOn w:val="List4"/>
    <w:rsid w:val="003B1700"/>
    <w:pPr>
      <w:numPr>
        <w:numId w:val="6"/>
      </w:numPr>
    </w:pPr>
  </w:style>
  <w:style w:type="paragraph" w:styleId="ListNumber5">
    <w:name w:val="List Number 5"/>
    <w:basedOn w:val="List5"/>
    <w:rsid w:val="003B1700"/>
    <w:pPr>
      <w:numPr>
        <w:numId w:val="7"/>
      </w:numPr>
    </w:pPr>
  </w:style>
  <w:style w:type="paragraph" w:styleId="BlockText">
    <w:name w:val="Block Text"/>
    <w:basedOn w:val="Normal"/>
    <w:rsid w:val="003B1700"/>
    <w:pPr>
      <w:spacing w:after="120"/>
      <w:ind w:left="1440" w:right="1440"/>
    </w:pPr>
  </w:style>
  <w:style w:type="character" w:customStyle="1" w:styleId="Subscript">
    <w:name w:val="Subscript"/>
    <w:basedOn w:val="DefaultParagraphFont"/>
    <w:rsid w:val="003B1700"/>
    <w:rPr>
      <w:sz w:val="16"/>
      <w:vertAlign w:val="subscript"/>
    </w:rPr>
  </w:style>
  <w:style w:type="character" w:customStyle="1" w:styleId="Superscript">
    <w:name w:val="Superscript"/>
    <w:basedOn w:val="DefaultParagraphFont"/>
    <w:rsid w:val="003B1700"/>
    <w:rPr>
      <w:sz w:val="16"/>
      <w:vertAlign w:val="superscript"/>
    </w:rPr>
  </w:style>
  <w:style w:type="character" w:customStyle="1" w:styleId="Symbols">
    <w:name w:val="Symbols"/>
    <w:basedOn w:val="DefaultParagraphFont"/>
    <w:rsid w:val="003B1700"/>
    <w:rPr>
      <w:rFonts w:ascii="Symbol" w:hAnsi="Symbol"/>
    </w:rPr>
  </w:style>
  <w:style w:type="character" w:customStyle="1" w:styleId="MenuOptions">
    <w:name w:val="Menu Options"/>
    <w:basedOn w:val="DefaultParagraphFont"/>
    <w:rsid w:val="003B1700"/>
    <w:rPr>
      <w:rFonts w:ascii="Arial Narrow" w:hAnsi="Arial Narrow"/>
      <w:smallCaps/>
    </w:rPr>
  </w:style>
  <w:style w:type="character" w:customStyle="1" w:styleId="Buttons">
    <w:name w:val="Buttons"/>
    <w:basedOn w:val="DefaultParagraphFont"/>
    <w:rsid w:val="003B1700"/>
    <w:rPr>
      <w:b/>
    </w:rPr>
  </w:style>
  <w:style w:type="character" w:customStyle="1" w:styleId="Underlined">
    <w:name w:val="Underlined"/>
    <w:basedOn w:val="DefaultParagraphFont"/>
    <w:rsid w:val="003B1700"/>
    <w:rPr>
      <w:u w:val="single"/>
    </w:rPr>
  </w:style>
  <w:style w:type="paragraph" w:customStyle="1" w:styleId="TableBodyTextRight">
    <w:name w:val="Table Body Text Right"/>
    <w:basedOn w:val="TableBodyText"/>
    <w:rsid w:val="003B1700"/>
    <w:pPr>
      <w:widowControl w:val="0"/>
      <w:autoSpaceDE w:val="0"/>
      <w:autoSpaceDN w:val="0"/>
      <w:adjustRightInd w:val="0"/>
      <w:jc w:val="right"/>
    </w:pPr>
    <w:rPr>
      <w:rFonts w:cs="Arial"/>
      <w:szCs w:val="18"/>
    </w:rPr>
  </w:style>
  <w:style w:type="paragraph" w:customStyle="1" w:styleId="CopyrightText">
    <w:name w:val="Copyright Text"/>
    <w:basedOn w:val="BodyText"/>
    <w:rsid w:val="003B1700"/>
    <w:rPr>
      <w:sz w:val="18"/>
    </w:rPr>
  </w:style>
  <w:style w:type="paragraph" w:customStyle="1" w:styleId="BodySmallRight">
    <w:name w:val="Body Small Right"/>
    <w:basedOn w:val="BodyTextRight"/>
    <w:rsid w:val="003B1700"/>
    <w:rPr>
      <w:sz w:val="18"/>
      <w:szCs w:val="18"/>
    </w:rPr>
  </w:style>
  <w:style w:type="paragraph" w:customStyle="1" w:styleId="MarginEdition">
    <w:name w:val="Margin Edition"/>
    <w:basedOn w:val="MarginNote"/>
    <w:rsid w:val="003B1700"/>
    <w:pPr>
      <w:spacing w:before="0" w:after="0"/>
    </w:pPr>
    <w:rPr>
      <w:rFonts w:ascii="Times New Roman" w:hAnsi="Times New Roman"/>
      <w:color w:val="999999"/>
    </w:rPr>
  </w:style>
  <w:style w:type="paragraph" w:customStyle="1" w:styleId="Spacer">
    <w:name w:val="Spacer"/>
    <w:basedOn w:val="Normal"/>
    <w:rsid w:val="003B1700"/>
    <w:rPr>
      <w:sz w:val="2"/>
      <w:szCs w:val="2"/>
    </w:rPr>
  </w:style>
  <w:style w:type="character" w:customStyle="1" w:styleId="Small">
    <w:name w:val="Small"/>
    <w:basedOn w:val="DefaultParagraphFont"/>
    <w:rsid w:val="003B1700"/>
    <w:rPr>
      <w:sz w:val="16"/>
    </w:rPr>
  </w:style>
  <w:style w:type="paragraph" w:customStyle="1" w:styleId="WideTable">
    <w:name w:val="Wide Table"/>
    <w:basedOn w:val="Normal"/>
    <w:rsid w:val="003B1700"/>
    <w:pPr>
      <w:ind w:left="-1418"/>
    </w:pPr>
    <w:rPr>
      <w:sz w:val="2"/>
      <w:szCs w:val="2"/>
    </w:rPr>
  </w:style>
  <w:style w:type="character" w:styleId="PageNumber">
    <w:name w:val="page number"/>
    <w:basedOn w:val="DefaultParagraphFont"/>
    <w:rsid w:val="003B1700"/>
  </w:style>
  <w:style w:type="paragraph" w:styleId="Quote">
    <w:name w:val="Quote"/>
    <w:basedOn w:val="Heading1"/>
    <w:link w:val="QuoteChar"/>
    <w:qFormat/>
    <w:rsid w:val="003B1700"/>
    <w:rPr>
      <w:b w:val="0"/>
      <w:sz w:val="72"/>
      <w:szCs w:val="72"/>
      <w:lang w:val="en-NZ"/>
    </w:rPr>
  </w:style>
  <w:style w:type="character" w:customStyle="1" w:styleId="QuoteChar">
    <w:name w:val="Quote Char"/>
    <w:basedOn w:val="DefaultParagraphFont"/>
    <w:link w:val="Quote"/>
    <w:rsid w:val="003B17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1700"/>
    <w:pPr>
      <w:pageBreakBefore/>
    </w:pPr>
  </w:style>
  <w:style w:type="paragraph" w:customStyle="1" w:styleId="Border">
    <w:name w:val="Border"/>
    <w:basedOn w:val="Normal"/>
    <w:qFormat/>
    <w:rsid w:val="003B17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1700"/>
    <w:rPr>
      <w:b/>
      <w:bCs/>
      <w:i/>
      <w:iCs/>
      <w:color w:val="auto"/>
    </w:rPr>
  </w:style>
  <w:style w:type="paragraph" w:styleId="IntenseQuote">
    <w:name w:val="Intense Quote"/>
    <w:basedOn w:val="Normal"/>
    <w:next w:val="Normal"/>
    <w:link w:val="IntenseQuoteChar"/>
    <w:uiPriority w:val="30"/>
    <w:qFormat/>
    <w:rsid w:val="003B17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17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1700"/>
    <w:rPr>
      <w:smallCaps/>
      <w:color w:val="auto"/>
      <w:u w:val="single"/>
    </w:rPr>
  </w:style>
  <w:style w:type="character" w:styleId="IntenseReference">
    <w:name w:val="Intense Reference"/>
    <w:basedOn w:val="DefaultParagraphFont"/>
    <w:uiPriority w:val="32"/>
    <w:qFormat/>
    <w:rsid w:val="003B1700"/>
    <w:rPr>
      <w:b/>
      <w:bCs/>
      <w:smallCaps/>
      <w:color w:val="auto"/>
      <w:spacing w:val="5"/>
      <w:u w:val="single"/>
    </w:rPr>
  </w:style>
  <w:style w:type="paragraph" w:customStyle="1" w:styleId="2ColumnHeading">
    <w:name w:val="2Column Heading"/>
    <w:basedOn w:val="BodyText"/>
    <w:qFormat/>
    <w:rsid w:val="003B1700"/>
    <w:pPr>
      <w:spacing w:after="60"/>
      <w:ind w:left="-2268"/>
    </w:pPr>
    <w:rPr>
      <w:b/>
    </w:rPr>
  </w:style>
  <w:style w:type="paragraph" w:customStyle="1" w:styleId="Heading1TOC">
    <w:name w:val="Heading1 TOC"/>
    <w:basedOn w:val="Normal"/>
    <w:qFormat/>
    <w:rsid w:val="003B1700"/>
    <w:pPr>
      <w:spacing w:before="240" w:after="120"/>
    </w:pPr>
    <w:rPr>
      <w:rFonts w:ascii="Times New Roman" w:hAnsi="Times New Roman"/>
      <w:b/>
      <w:sz w:val="32"/>
    </w:rPr>
  </w:style>
  <w:style w:type="paragraph" w:customStyle="1" w:styleId="Heading2TOC">
    <w:name w:val="Heading2 TOC"/>
    <w:basedOn w:val="Normal"/>
    <w:qFormat/>
    <w:rsid w:val="003B1700"/>
    <w:pPr>
      <w:spacing w:before="240" w:after="60"/>
    </w:pPr>
    <w:rPr>
      <w:rFonts w:ascii="Times New Roman" w:hAnsi="Times New Roman"/>
      <w:b/>
      <w:sz w:val="28"/>
    </w:rPr>
  </w:style>
  <w:style w:type="character" w:customStyle="1" w:styleId="Underline">
    <w:name w:val="Underline"/>
    <w:basedOn w:val="DefaultParagraphFont"/>
    <w:qFormat/>
    <w:rsid w:val="003B1700"/>
    <w:rPr>
      <w:u w:val="single"/>
    </w:rPr>
  </w:style>
  <w:style w:type="character" w:customStyle="1" w:styleId="BoldandItalics">
    <w:name w:val="Bold and Italics"/>
    <w:qFormat/>
    <w:rsid w:val="003B1700"/>
    <w:rPr>
      <w:b/>
      <w:i/>
      <w:u w:val="none"/>
    </w:rPr>
  </w:style>
  <w:style w:type="paragraph" w:styleId="BalloonText">
    <w:name w:val="Balloon Text"/>
    <w:basedOn w:val="Normal"/>
    <w:link w:val="BalloonTextChar"/>
    <w:rsid w:val="003B1700"/>
    <w:rPr>
      <w:rFonts w:ascii="Tahoma" w:hAnsi="Tahoma" w:cs="Tahoma"/>
      <w:sz w:val="16"/>
      <w:szCs w:val="16"/>
    </w:rPr>
  </w:style>
  <w:style w:type="character" w:customStyle="1" w:styleId="BalloonTextChar">
    <w:name w:val="Balloon Text Char"/>
    <w:basedOn w:val="DefaultParagraphFont"/>
    <w:link w:val="BalloonText"/>
    <w:rsid w:val="003B17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17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17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1700"/>
    <w:rPr>
      <w:b/>
      <w:color w:val="660033"/>
      <w:spacing w:val="0"/>
    </w:rPr>
  </w:style>
  <w:style w:type="paragraph" w:customStyle="1" w:styleId="Nameditemlist">
    <w:name w:val="Named item list"/>
    <w:basedOn w:val="BodyText"/>
    <w:qFormat/>
    <w:rsid w:val="003B1700"/>
    <w:pPr>
      <w:tabs>
        <w:tab w:val="left" w:pos="2835"/>
      </w:tabs>
      <w:ind w:left="2835" w:hanging="2835"/>
    </w:pPr>
  </w:style>
  <w:style w:type="paragraph" w:customStyle="1" w:styleId="BodyTextnopadding">
    <w:name w:val="Body Text no padding"/>
    <w:basedOn w:val="BodyText"/>
    <w:qFormat/>
    <w:rsid w:val="003B1700"/>
    <w:pPr>
      <w:spacing w:before="0" w:after="0"/>
    </w:pPr>
  </w:style>
  <w:style w:type="paragraph" w:customStyle="1" w:styleId="BodyTextBold">
    <w:name w:val="Body Text Bold"/>
    <w:basedOn w:val="BodyText"/>
    <w:qFormat/>
    <w:rsid w:val="003B1700"/>
    <w:rPr>
      <w:b/>
    </w:rPr>
  </w:style>
  <w:style w:type="character" w:styleId="Hyperlink">
    <w:name w:val="Hyperlink"/>
    <w:basedOn w:val="DefaultParagraphFont"/>
    <w:uiPriority w:val="99"/>
    <w:unhideWhenUsed/>
    <w:rsid w:val="00F23E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3775</Characters>
  <Application>Microsoft Office Word</Application>
  <DocSecurity>0</DocSecurity>
  <Lines>96</Lines>
  <Paragraphs>76</Paragraphs>
  <ScaleCrop>false</ScaleCrop>
  <Company>Author-it Software Corporation Ltd.</Company>
  <LinksUpToDate>false</LinksUpToDate>
  <CharactersWithSpaces>4266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UETDRRT010 Maintain rail traction bonds</dc:title>
  <dc:subject>Approved</dc:subject>
  <dc:creator>Australian Industry Standards</dc:creator>
  <cp:keywords>Release: 1</cp:keywords>
  <dc:description>Review Date: 12 April 2008</dc:description>
  <cp:lastModifiedBy>HSD_TPCMSd.prod</cp:lastModifiedBy>
  <cp:revision>3</cp:revision>
  <dcterms:created xsi:type="dcterms:W3CDTF">2022-12-06T06:48:00Z</dcterms:created>
  <dcterms:modified xsi:type="dcterms:W3CDTF">2022-12-06T06:48:00Z</dcterms:modified>
</cp:coreProperties>
</file>