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718" w:rsidP="00D627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UETDRMP011 Testing of connections to low voltage electricity networks</w:t>
      </w:r>
      <w:r>
        <w:fldChar w:fldCharType="end"/>
      </w:r>
    </w:p>
    <w:p w:rsidR="00D62718" w:rsidP="00D62718">
      <w:pPr>
        <w:pStyle w:val="Version"/>
        <w:sectPr w:rsidSect="00157A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7A02" w:rsidP="00157A02">
      <w:pPr>
        <w:pStyle w:val="SuperHeading"/>
      </w:pPr>
      <w:r w:rsidRPr="00157A02">
        <w:t>UETDRMP011 Testing of connections to low voltage electricity networks</w:t>
      </w:r>
    </w:p>
    <w:p w:rsidR="00000000" w:rsidRPr="00157A02" w:rsidP="00157A02">
      <w:pPr>
        <w:pStyle w:val="Heading1"/>
      </w:pPr>
      <w:bookmarkStart w:id="1" w:name="O_1236508"/>
      <w:bookmarkEnd w:id="1"/>
      <w:r w:rsidRPr="00157A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t xml:space="preserve">Release 1. This is the first release of this unit of competency in the UET Transmission, Distribution and Rail Sector Training Package Release </w:t>
            </w:r>
            <w:r w:rsidRPr="00157A02">
              <w:t>4.0.</w:t>
            </w:r>
          </w:p>
        </w:tc>
      </w:tr>
    </w:tbl>
    <w:p w:rsidR="00000000" w:rsidRPr="00157A02" w:rsidP="00157A02">
      <w:pPr>
        <w:pStyle w:val="NoPaddingFontSize1"/>
      </w:pPr>
    </w:p>
    <w:p w:rsidR="00000000" w:rsidRPr="00157A02" w:rsidP="00157A02">
      <w:pPr>
        <w:pStyle w:val="AllowPageBreak"/>
      </w:pPr>
    </w:p>
    <w:p w:rsidR="00000000" w:rsidRPr="00157A02" w:rsidP="00157A02">
      <w:pPr>
        <w:pStyle w:val="Heading1"/>
      </w:pPr>
      <w:bookmarkStart w:id="2" w:name="O_1236509"/>
      <w:bookmarkEnd w:id="2"/>
      <w:r w:rsidRPr="00157A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t>This unit involves the skills and knowledge required to perform testing of connections to low voltage (LV) electricity networks in the electricity supply industry (ESI) environment.</w:t>
            </w:r>
          </w:p>
          <w:p w:rsidR="00000000" w:rsidRPr="00157A02" w:rsidP="00157A02">
            <w:pPr>
              <w:pStyle w:val="BodyText"/>
            </w:pPr>
            <w:r w:rsidRPr="00157A02">
              <w:t>It includes the requirements for tes</w:t>
            </w:r>
            <w:r w:rsidRPr="00157A02">
              <w:t>ting when connecting and/or reconnecting a customer’s installation to an electricity supply network and how it applies to ESI workers to meet work health and safety (WHS)/occupational health and safety (OHS), mobility and mutual aid requirements.</w:t>
            </w:r>
          </w:p>
          <w:p w:rsidR="00000000" w:rsidRPr="00157A02" w:rsidP="00157A02">
            <w:pPr>
              <w:pStyle w:val="BodyText"/>
            </w:pPr>
            <w:r w:rsidRPr="00157A02">
              <w:rPr>
                <w:rStyle w:val="Emphasis"/>
              </w:rPr>
              <w:t>Note: Tho</w:t>
            </w:r>
            <w:r w:rsidRPr="00157A02">
              <w:rPr>
                <w:rStyle w:val="Emphasis"/>
              </w:rPr>
              <w:t>se holding an existing Certificate III ESI or Certificate III Electrotechnology qualification or equivalent meet the prerequisite unit requirements.</w:t>
            </w:r>
          </w:p>
          <w:p w:rsidR="00000000" w:rsidRPr="00157A02" w:rsidP="00157A02">
            <w:pPr>
              <w:pStyle w:val="BodyText"/>
            </w:pPr>
            <w:r w:rsidRPr="00157A02">
              <w:rPr>
                <w:rStyle w:val="Emphasis"/>
              </w:rPr>
              <w:t>Refer to the UET Transmission, Distribution and Rail Sector Training Package</w:t>
            </w:r>
            <w:r w:rsidRPr="00157A02">
              <w:t xml:space="preserve"> </w:t>
            </w:r>
            <w:r w:rsidRPr="00157A02">
              <w:rPr>
                <w:rStyle w:val="Emphasis"/>
              </w:rPr>
              <w:t>Companion Volume Implementatio</w:t>
            </w:r>
            <w:r w:rsidRPr="00157A02">
              <w:rPr>
                <w:rStyle w:val="Emphasis"/>
              </w:rPr>
              <w:t>n Guide for equivalency definition.</w:t>
            </w:r>
          </w:p>
          <w:p w:rsidR="00000000" w:rsidRPr="00157A02" w:rsidP="00157A02">
            <w:pPr>
              <w:pStyle w:val="BodyText"/>
            </w:pPr>
            <w:r w:rsidRPr="00157A02">
              <w:t>The application of the skills and knowledge described in this unit may require a licence/registration to practice in the workplace.</w:t>
            </w:r>
          </w:p>
          <w:p w:rsidR="00000000" w:rsidRPr="00157A02" w:rsidP="00157A02">
            <w:pPr>
              <w:pStyle w:val="BodyText"/>
            </w:pPr>
            <w:r w:rsidRPr="00157A02">
              <w:t>Other conditions may also apply under state and territory legislative and regulatory lic</w:t>
            </w:r>
            <w:r w:rsidRPr="00157A02">
              <w:t>ensing requirements which must be confirmed prior to commencing this unit.</w:t>
            </w:r>
          </w:p>
        </w:tc>
      </w:tr>
    </w:tbl>
    <w:p w:rsidR="00000000" w:rsidRPr="00157A02" w:rsidP="00157A02">
      <w:pPr>
        <w:pStyle w:val="NoPaddingFontSize1"/>
      </w:pPr>
    </w:p>
    <w:p w:rsidR="00000000" w:rsidRPr="00157A02" w:rsidP="00157A02">
      <w:pPr>
        <w:pStyle w:val="AllowPageBreak"/>
      </w:pPr>
    </w:p>
    <w:p w:rsidR="00000000" w:rsidRPr="00157A02" w:rsidP="00157A02">
      <w:pPr>
        <w:pStyle w:val="Heading1"/>
      </w:pPr>
      <w:bookmarkStart w:id="3" w:name="O_1236510"/>
      <w:bookmarkEnd w:id="3"/>
      <w:r w:rsidRPr="00157A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t>UEECD0007 Apply work health and safety regulations, codes and practices in the workplace</w:t>
            </w:r>
          </w:p>
          <w:p w:rsidR="00000000" w:rsidRPr="00157A02" w:rsidP="00157A02">
            <w:pPr>
              <w:pStyle w:val="BodyText"/>
            </w:pPr>
            <w:r w:rsidRPr="00157A02">
              <w:t>UEECD0019 Fabricate, assemble and dismantle utilitie</w:t>
            </w:r>
            <w:r w:rsidRPr="00157A02">
              <w:t>s industry components</w:t>
            </w:r>
          </w:p>
          <w:p w:rsidR="00000000" w:rsidRPr="00157A02" w:rsidP="00157A02">
            <w:pPr>
              <w:pStyle w:val="BodyText"/>
            </w:pPr>
            <w:r w:rsidRPr="00157A02">
              <w:t>UEECD0044 Solve problems in multiple path circuits</w:t>
            </w:r>
          </w:p>
          <w:p w:rsidR="00000000" w:rsidRPr="00157A02" w:rsidP="00157A02">
            <w:pPr>
              <w:pStyle w:val="BodyText"/>
            </w:pPr>
            <w:r w:rsidRPr="00157A02">
              <w:t>UEECD0046 Solve problems in single path circuits</w:t>
            </w:r>
          </w:p>
          <w:p w:rsidR="00000000" w:rsidRPr="00157A02" w:rsidP="00157A02">
            <w:pPr>
              <w:pStyle w:val="BodyText"/>
            </w:pPr>
            <w:r w:rsidRPr="00157A02">
              <w:t>UEECD0051 Use drawings, diagrams, schedules, standards, codes and specifications</w:t>
            </w:r>
          </w:p>
          <w:p w:rsidR="00000000" w:rsidRPr="00157A02" w:rsidP="00157A02">
            <w:pPr>
              <w:pStyle w:val="BodyText"/>
            </w:pPr>
            <w:r w:rsidRPr="00157A02">
              <w:t>UEEEL0020 Solve problems in low voltage a.c. circuits</w:t>
            </w:r>
          </w:p>
          <w:p w:rsidR="00000000" w:rsidRPr="00157A02" w:rsidP="00157A02">
            <w:pPr>
              <w:pStyle w:val="BodyText"/>
            </w:pPr>
            <w:r w:rsidRPr="00157A02">
              <w:t>UEEEL0021 Solve problems in magnetic and electromagnetic devices</w:t>
            </w:r>
          </w:p>
          <w:p w:rsidR="00000000" w:rsidRPr="00157A02" w:rsidP="00157A02">
            <w:pPr>
              <w:pStyle w:val="BodyText"/>
            </w:pPr>
            <w:r w:rsidRPr="00157A02">
              <w:t>UETDREL001 Apply environmental requirements</w:t>
            </w:r>
          </w:p>
          <w:p w:rsidR="00000000" w:rsidRPr="00157A02" w:rsidP="00157A02">
            <w:pPr>
              <w:pStyle w:val="BodyText"/>
            </w:pPr>
            <w:r w:rsidRPr="00157A02">
              <w:t>and</w:t>
            </w:r>
          </w:p>
          <w:p w:rsidR="00000000" w:rsidRPr="00157A02" w:rsidP="00157A02">
            <w:pPr>
              <w:pStyle w:val="BodyText"/>
            </w:pPr>
            <w:r w:rsidRPr="00157A02">
              <w:t>UETDREL004 Operate plant and equipment in the vicinity of live electrical apparatus</w:t>
            </w:r>
          </w:p>
          <w:p w:rsidR="00000000" w:rsidRPr="00157A02" w:rsidP="00157A02">
            <w:pPr>
              <w:pStyle w:val="BodyText"/>
            </w:pPr>
            <w:r w:rsidRPr="00157A02">
              <w:t>UETDR</w:t>
            </w:r>
            <w:r w:rsidRPr="00157A02">
              <w:t>EL005 Work safely in the vicinity of live electrical apparatus</w:t>
            </w:r>
          </w:p>
          <w:p w:rsidR="00000000" w:rsidRPr="00157A02" w:rsidP="00157A02">
            <w:pPr>
              <w:pStyle w:val="BodyText"/>
            </w:pPr>
            <w:r w:rsidRPr="00157A02">
              <w:t>UETDRIS010 Install and maintain low voltage overhead services</w:t>
            </w:r>
          </w:p>
          <w:p w:rsidR="00000000" w:rsidRPr="00157A02" w:rsidP="00157A02">
            <w:pPr>
              <w:pStyle w:val="BodyText"/>
            </w:pPr>
            <w:r w:rsidRPr="00157A02">
              <w:t>or</w:t>
            </w:r>
          </w:p>
          <w:p w:rsidR="00000000" w:rsidRPr="00157A02" w:rsidP="00157A02">
            <w:pPr>
              <w:pStyle w:val="BodyText"/>
            </w:pPr>
            <w:r w:rsidRPr="00157A02">
              <w:t>UETDREL005 Work safely in the vicinity of live electrical apparatus</w:t>
            </w:r>
          </w:p>
          <w:p w:rsidR="00000000" w:rsidRPr="00157A02" w:rsidP="00157A02">
            <w:pPr>
              <w:pStyle w:val="BodyText"/>
            </w:pPr>
            <w:r w:rsidRPr="00157A02">
              <w:t>UETDRIS011 Install and maintain low voltage underground serv</w:t>
            </w:r>
            <w:r w:rsidRPr="00157A02">
              <w:t>ices</w:t>
            </w:r>
          </w:p>
          <w:p w:rsidR="00000000" w:rsidRPr="00157A02" w:rsidP="00157A02">
            <w:pPr>
              <w:pStyle w:val="BodyText"/>
            </w:pPr>
            <w:r w:rsidRPr="00157A02">
              <w:t>or</w:t>
            </w:r>
          </w:p>
          <w:p w:rsidR="00000000" w:rsidRPr="00157A02" w:rsidP="00157A02">
            <w:pPr>
              <w:pStyle w:val="BodyText"/>
            </w:pPr>
            <w:r w:rsidRPr="00157A02">
              <w:t>UETDRIS014 Install and replace energy meters and associated equipment</w:t>
            </w:r>
          </w:p>
        </w:tc>
      </w:tr>
    </w:tbl>
    <w:p w:rsidR="00000000" w:rsidRPr="00157A02" w:rsidP="00157A02">
      <w:pPr>
        <w:pStyle w:val="NoPaddingFontSize1"/>
      </w:pPr>
    </w:p>
    <w:p w:rsidR="00000000" w:rsidRPr="00157A02" w:rsidP="00157A02">
      <w:pPr>
        <w:pStyle w:val="AllowPageBreak"/>
      </w:pPr>
    </w:p>
    <w:p w:rsidR="00000000" w:rsidRPr="00157A02" w:rsidP="00157A02">
      <w:pPr>
        <w:pStyle w:val="Heading1"/>
      </w:pPr>
      <w:bookmarkStart w:id="4" w:name="O_1236511"/>
      <w:bookmarkEnd w:id="4"/>
      <w:r w:rsidRPr="00157A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t>Mobility and Portability</w:t>
            </w:r>
          </w:p>
        </w:tc>
      </w:tr>
    </w:tbl>
    <w:p w:rsidR="00000000" w:rsidRPr="00157A02" w:rsidP="00157A02">
      <w:pPr>
        <w:pStyle w:val="NoPaddingFontSize1"/>
      </w:pPr>
    </w:p>
    <w:p w:rsidR="00000000" w:rsidRPr="00157A02" w:rsidP="00157A02">
      <w:pPr>
        <w:pStyle w:val="AllowPageBreak"/>
      </w:pPr>
    </w:p>
    <w:p w:rsidR="00000000" w:rsidRPr="00157A02" w:rsidP="00157A02">
      <w:pPr>
        <w:pStyle w:val="Heading1"/>
      </w:pPr>
      <w:bookmarkStart w:id="5" w:name="O_1236512"/>
      <w:bookmarkEnd w:id="5"/>
      <w:r w:rsidRPr="00157A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t>Not applicable.</w:t>
            </w:r>
          </w:p>
        </w:tc>
      </w:tr>
    </w:tbl>
    <w:p w:rsidR="00000000" w:rsidRPr="00157A02" w:rsidP="00157A02">
      <w:pPr>
        <w:pStyle w:val="NoPaddingFontSize1"/>
      </w:pPr>
    </w:p>
    <w:p w:rsidR="00000000" w:rsidRPr="00157A02" w:rsidP="00157A02">
      <w:pPr>
        <w:pStyle w:val="AllowPageBreak"/>
      </w:pPr>
    </w:p>
    <w:p w:rsidR="00000000" w:rsidRPr="00157A02" w:rsidP="00157A02">
      <w:pPr>
        <w:pStyle w:val="Heading1"/>
      </w:pPr>
      <w:bookmarkStart w:id="6" w:name="O_1236513"/>
      <w:bookmarkEnd w:id="6"/>
      <w:r w:rsidRPr="00157A0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701"/>
        <w:gridCol w:w="5540"/>
      </w:tblGrid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rPr>
                <w:rStyle w:val="SpecialBold"/>
              </w:rPr>
              <w:t>PERFORMANCE CRITERIA</w:t>
            </w:r>
          </w:p>
        </w:tc>
      </w:tr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t>Performance criteria describe the performance needed to demonstrate achievement of the element.</w:t>
            </w:r>
          </w:p>
        </w:tc>
      </w:tr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rPr>
                <w:rStyle w:val="SpecialBold"/>
              </w:rPr>
              <w:t xml:space="preserve">1 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rPr>
                <w:rStyle w:val="SpecialBold"/>
              </w:rPr>
              <w:t>Prepare to perform test procedures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t>Workplace requirements for perform testing of conn</w:t>
            </w:r>
            <w:r w:rsidRPr="00157A02">
              <w:t>ections are identified and confirmed</w:t>
            </w:r>
          </w:p>
        </w:tc>
      </w:tr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t>Hazards are identified, risks assessed, and control measures identified and applied</w:t>
            </w:r>
          </w:p>
        </w:tc>
      </w:tr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t>Tools, equipment and personal protective equipment (PPE) required for testing are determined, obtained and confirmed in working order</w:t>
            </w:r>
          </w:p>
        </w:tc>
      </w:tr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rPr>
                <w:rStyle w:val="SpecialBold"/>
              </w:rPr>
              <w:t>Carry out test procedures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t>Hazard control measures are monitored in accordance with workplace requirements</w:t>
            </w:r>
          </w:p>
        </w:tc>
      </w:tr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t>Us</w:t>
            </w:r>
            <w:r w:rsidRPr="00157A02">
              <w:t>e of tools, equipment and PPE for testing are carried out in accordance with workplace requirements</w:t>
            </w:r>
          </w:p>
        </w:tc>
      </w:tr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t>Testing of connections to electricity networks are conducted in accordance with workplace requirements and AS4741</w:t>
            </w:r>
          </w:p>
        </w:tc>
      </w:tr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t>Corrective actions are undertaken in accordance with workplace requirements</w:t>
            </w:r>
          </w:p>
        </w:tc>
      </w:tr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rPr>
                <w:rStyle w:val="SpecialBold"/>
              </w:rPr>
              <w:t>Complete the test procedures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A02">
            <w:pPr>
              <w:pStyle w:val="BodyText"/>
              <w:rPr>
                <w:lang w:val="en-NZ"/>
              </w:rPr>
            </w:pPr>
            <w:r w:rsidRPr="00157A02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t>Test results are recorded in accordance with workplace requirements</w:t>
            </w:r>
          </w:p>
        </w:tc>
      </w:tr>
    </w:tbl>
    <w:p w:rsidR="00000000" w:rsidRPr="00157A02" w:rsidP="00157A02">
      <w:pPr>
        <w:pStyle w:val="NoPaddingFontSize1"/>
      </w:pPr>
    </w:p>
    <w:p w:rsidR="00000000" w:rsidRPr="00157A02" w:rsidP="00157A02">
      <w:pPr>
        <w:pStyle w:val="AllowPageBreak"/>
      </w:pPr>
    </w:p>
    <w:p w:rsidR="00000000" w:rsidRPr="00157A02" w:rsidP="00157A02">
      <w:pPr>
        <w:pStyle w:val="Heading1"/>
      </w:pPr>
      <w:bookmarkStart w:id="7" w:name="O_1236514"/>
      <w:bookmarkEnd w:id="7"/>
      <w:r w:rsidRPr="00157A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t>Foundation skills essential to perfor</w:t>
            </w:r>
            <w:r w:rsidRPr="00157A02">
              <w:t>mance are explicit in the performance criteria of this unit of competency.</w:t>
            </w:r>
          </w:p>
        </w:tc>
      </w:tr>
    </w:tbl>
    <w:p w:rsidR="00000000" w:rsidRPr="00157A02" w:rsidP="00157A02">
      <w:pPr>
        <w:pStyle w:val="NoPaddingFontSize1"/>
      </w:pPr>
    </w:p>
    <w:p w:rsidR="00000000" w:rsidRPr="00157A02" w:rsidP="00157A02">
      <w:pPr>
        <w:pStyle w:val="AllowPageBreak"/>
      </w:pPr>
    </w:p>
    <w:p w:rsidR="00000000" w:rsidRPr="00157A02" w:rsidP="00157A02">
      <w:pPr>
        <w:pStyle w:val="Heading1"/>
      </w:pPr>
      <w:bookmarkStart w:id="8" w:name="O_1236515"/>
      <w:bookmarkEnd w:id="8"/>
      <w:r w:rsidRPr="00157A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t>Range is restricted to essential operating conditions and any other variables essential to the work environment.</w:t>
            </w:r>
          </w:p>
          <w:p w:rsidR="00000000" w:rsidRPr="00157A02" w:rsidP="00157A02">
            <w:pPr>
              <w:pStyle w:val="BodyText"/>
            </w:pPr>
            <w:r w:rsidRPr="00157A02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157A02" w:rsidP="00157A02">
      <w:pPr>
        <w:pStyle w:val="NoPaddingFontSize1"/>
      </w:pPr>
    </w:p>
    <w:p w:rsidR="00000000" w:rsidRPr="00157A02" w:rsidP="00157A02">
      <w:pPr>
        <w:pStyle w:val="AllowPageBreak"/>
      </w:pPr>
    </w:p>
    <w:p w:rsidR="00000000" w:rsidRPr="00157A02" w:rsidP="00157A02">
      <w:pPr>
        <w:pStyle w:val="Heading1"/>
      </w:pPr>
      <w:bookmarkStart w:id="9" w:name="O_1236516"/>
      <w:bookmarkEnd w:id="9"/>
      <w:r w:rsidRPr="00157A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A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A02" w:rsidP="00157A02">
            <w:pPr>
              <w:pStyle w:val="BodyText"/>
            </w:pPr>
            <w:r w:rsidRPr="00157A02">
              <w:t>This unit replaces and not equivalent to UETTDRRF11 Testing of</w:t>
            </w:r>
            <w:r w:rsidRPr="00157A02">
              <w:t xml:space="preserve"> connections to low voltage electricity networks.</w:t>
            </w:r>
          </w:p>
        </w:tc>
      </w:tr>
    </w:tbl>
    <w:p w:rsidR="00000000" w:rsidRPr="00157A02" w:rsidP="00157A02">
      <w:pPr>
        <w:pStyle w:val="NoPaddingFontSize1"/>
      </w:pPr>
    </w:p>
    <w:p w:rsidR="00000000" w:rsidRPr="00157A02" w:rsidP="00157A02">
      <w:pPr>
        <w:pStyle w:val="AllowPageBreak"/>
      </w:pPr>
    </w:p>
    <w:p w:rsidR="00000000" w:rsidRPr="00157A02" w:rsidP="00157A02">
      <w:pPr>
        <w:pStyle w:val="Heading1"/>
      </w:pPr>
      <w:bookmarkStart w:id="10" w:name="O_1236523"/>
      <w:bookmarkEnd w:id="10"/>
      <w:r w:rsidRPr="00157A02">
        <w:t>Links</w:t>
      </w:r>
    </w:p>
    <w:p w:rsidR="00000000" w:rsidRPr="00157A02" w:rsidP="00D62718">
      <w:pPr>
        <w:pStyle w:val="BodyText"/>
      </w:pPr>
      <w:r w:rsidRPr="00157A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03FD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57A02" w:rsidP="00157A02"/>
    <w:sectPr w:rsidSect="00157A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02" w:rsidRPr="00D62718" w:rsidP="00D627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18" w:rsidP="00157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718" w:rsidP="00157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2718" w:rsidP="00157A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A02" w:rsidRPr="00D62718" w:rsidP="00D627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A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18" w:rsidRPr="002D2AF8" w:rsidP="00157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UETDRMP011 Testing of connections to low voltage electricity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D62718" w:rsidP="00157A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A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A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A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A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A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A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A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A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A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A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A02"/>
  </w:style>
  <w:style w:type="character" w:customStyle="1" w:styleId="Heading1Char">
    <w:name w:val="Heading 1 Char"/>
    <w:basedOn w:val="DefaultParagraphFont"/>
    <w:link w:val="Heading1"/>
    <w:rsid w:val="00157A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A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A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7A02"/>
    <w:rPr>
      <w:b/>
      <w:spacing w:val="0"/>
    </w:rPr>
  </w:style>
  <w:style w:type="character" w:styleId="Emphasis">
    <w:name w:val="Emphasis"/>
    <w:basedOn w:val="DefaultParagraphFont"/>
    <w:qFormat/>
    <w:rsid w:val="00157A02"/>
    <w:rPr>
      <w:i/>
    </w:rPr>
  </w:style>
  <w:style w:type="paragraph" w:customStyle="1" w:styleId="SuperHeading">
    <w:name w:val="SuperHeading"/>
    <w:basedOn w:val="Normal"/>
    <w:rsid w:val="00157A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A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7A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A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A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A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A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A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A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A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A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A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A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A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A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A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A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7A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7A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7A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A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A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7A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7A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A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A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A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A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A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A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A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A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7A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A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A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A02"/>
  </w:style>
  <w:style w:type="paragraph" w:styleId="TableofFigures">
    <w:name w:val="table of figures"/>
    <w:basedOn w:val="Normal"/>
    <w:next w:val="Normal"/>
    <w:semiHidden/>
    <w:rsid w:val="00157A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A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7A02"/>
    <w:rPr>
      <w:rFonts w:ascii="Wingdings" w:hAnsi="Wingdings"/>
    </w:rPr>
  </w:style>
  <w:style w:type="paragraph" w:customStyle="1" w:styleId="TableHeading">
    <w:name w:val="Table Heading"/>
    <w:basedOn w:val="HeadingBase"/>
    <w:rsid w:val="00157A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A02"/>
    <w:rPr>
      <w:color w:val="0033CC"/>
      <w:u w:val="none"/>
    </w:rPr>
  </w:style>
  <w:style w:type="paragraph" w:customStyle="1" w:styleId="BodyTextRight">
    <w:name w:val="Body Text Right"/>
    <w:basedOn w:val="BodyText"/>
    <w:rsid w:val="00157A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A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A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A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A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A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A02"/>
    <w:rPr>
      <w:sz w:val="32"/>
    </w:rPr>
  </w:style>
  <w:style w:type="paragraph" w:customStyle="1" w:styleId="HeadingProcedure">
    <w:name w:val="Heading Procedure"/>
    <w:basedOn w:val="HeadingBase"/>
    <w:next w:val="Normal"/>
    <w:rsid w:val="00157A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A02"/>
    <w:pPr>
      <w:spacing w:before="60" w:after="60"/>
    </w:pPr>
  </w:style>
  <w:style w:type="paragraph" w:styleId="ListContinue">
    <w:name w:val="List Continue"/>
    <w:basedOn w:val="List"/>
    <w:rsid w:val="00157A02"/>
    <w:pPr>
      <w:ind w:firstLine="0"/>
    </w:pPr>
  </w:style>
  <w:style w:type="paragraph" w:customStyle="1" w:styleId="ListNote">
    <w:name w:val="List Note"/>
    <w:basedOn w:val="List"/>
    <w:rsid w:val="00157A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A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A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A02"/>
    <w:rPr>
      <w:rFonts w:ascii="Courier New" w:hAnsi="Courier New"/>
    </w:rPr>
  </w:style>
  <w:style w:type="paragraph" w:customStyle="1" w:styleId="NoteBullet">
    <w:name w:val="Note Bullet"/>
    <w:basedOn w:val="Note"/>
    <w:rsid w:val="00157A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A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A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A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A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7A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A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A02"/>
    <w:rPr>
      <w:b/>
      <w:smallCaps/>
    </w:rPr>
  </w:style>
  <w:style w:type="paragraph" w:customStyle="1" w:styleId="TableListNumber">
    <w:name w:val="Table List Number"/>
    <w:basedOn w:val="ListNumber"/>
    <w:rsid w:val="00157A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A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A02"/>
    <w:pPr>
      <w:numPr>
        <w:numId w:val="7"/>
      </w:numPr>
    </w:pPr>
  </w:style>
  <w:style w:type="paragraph" w:customStyle="1" w:styleId="ListAlpha2">
    <w:name w:val="List Alpha 2"/>
    <w:basedOn w:val="List2"/>
    <w:rsid w:val="00157A02"/>
    <w:pPr>
      <w:numPr>
        <w:numId w:val="6"/>
      </w:numPr>
    </w:pPr>
  </w:style>
  <w:style w:type="paragraph" w:styleId="List2">
    <w:name w:val="List 2"/>
    <w:basedOn w:val="BodyText"/>
    <w:rsid w:val="00157A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A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A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A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A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A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7A02"/>
    <w:pPr>
      <w:numPr>
        <w:numId w:val="2"/>
      </w:numPr>
    </w:pPr>
  </w:style>
  <w:style w:type="paragraph" w:styleId="ListContinue2">
    <w:name w:val="List Continue 2"/>
    <w:basedOn w:val="List2"/>
    <w:rsid w:val="00157A02"/>
    <w:pPr>
      <w:ind w:firstLine="0"/>
    </w:pPr>
  </w:style>
  <w:style w:type="paragraph" w:styleId="ListContinue3">
    <w:name w:val="List Continue 3"/>
    <w:basedOn w:val="List3"/>
    <w:rsid w:val="00157A02"/>
    <w:pPr>
      <w:ind w:left="1021" w:firstLine="0"/>
    </w:pPr>
  </w:style>
  <w:style w:type="paragraph" w:styleId="ListContinue4">
    <w:name w:val="List Continue 4"/>
    <w:basedOn w:val="List4"/>
    <w:rsid w:val="00157A02"/>
    <w:pPr>
      <w:ind w:firstLine="0"/>
    </w:pPr>
  </w:style>
  <w:style w:type="paragraph" w:styleId="ListContinue5">
    <w:name w:val="List Continue 5"/>
    <w:basedOn w:val="List5"/>
    <w:rsid w:val="00157A02"/>
    <w:pPr>
      <w:ind w:firstLine="0"/>
    </w:pPr>
  </w:style>
  <w:style w:type="paragraph" w:styleId="ListNumber3">
    <w:name w:val="List Number 3"/>
    <w:basedOn w:val="List3"/>
    <w:rsid w:val="00157A02"/>
    <w:pPr>
      <w:numPr>
        <w:numId w:val="3"/>
      </w:numPr>
    </w:pPr>
  </w:style>
  <w:style w:type="paragraph" w:styleId="ListNumber4">
    <w:name w:val="List Number 4"/>
    <w:basedOn w:val="List4"/>
    <w:rsid w:val="00157A02"/>
    <w:pPr>
      <w:numPr>
        <w:numId w:val="4"/>
      </w:numPr>
    </w:pPr>
  </w:style>
  <w:style w:type="paragraph" w:styleId="ListNumber5">
    <w:name w:val="List Number 5"/>
    <w:basedOn w:val="List5"/>
    <w:rsid w:val="00157A02"/>
    <w:pPr>
      <w:numPr>
        <w:numId w:val="5"/>
      </w:numPr>
    </w:pPr>
  </w:style>
  <w:style w:type="paragraph" w:styleId="BlockText">
    <w:name w:val="Block Text"/>
    <w:basedOn w:val="Normal"/>
    <w:rsid w:val="00157A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A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A02"/>
    <w:rPr>
      <w:sz w:val="16"/>
      <w:vertAlign w:val="superscript"/>
    </w:rPr>
  </w:style>
  <w:style w:type="character" w:customStyle="1" w:styleId="Symbols">
    <w:name w:val="Symbols"/>
    <w:basedOn w:val="DefaultParagraphFont"/>
    <w:rsid w:val="00157A02"/>
    <w:rPr>
      <w:rFonts w:ascii="Symbol" w:hAnsi="Symbol"/>
    </w:rPr>
  </w:style>
  <w:style w:type="character" w:customStyle="1" w:styleId="MenuOptions">
    <w:name w:val="Menu Options"/>
    <w:basedOn w:val="DefaultParagraphFont"/>
    <w:rsid w:val="00157A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A02"/>
    <w:rPr>
      <w:b/>
    </w:rPr>
  </w:style>
  <w:style w:type="character" w:customStyle="1" w:styleId="Underlined">
    <w:name w:val="Underlined"/>
    <w:basedOn w:val="DefaultParagraphFont"/>
    <w:rsid w:val="00157A02"/>
    <w:rPr>
      <w:u w:val="single"/>
    </w:rPr>
  </w:style>
  <w:style w:type="paragraph" w:customStyle="1" w:styleId="TableBodyTextRight">
    <w:name w:val="Table Body Text Right"/>
    <w:basedOn w:val="TableBodyText"/>
    <w:rsid w:val="00157A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A02"/>
    <w:rPr>
      <w:sz w:val="18"/>
    </w:rPr>
  </w:style>
  <w:style w:type="paragraph" w:customStyle="1" w:styleId="BodySmallRight">
    <w:name w:val="Body Small Right"/>
    <w:basedOn w:val="BodyTextRight"/>
    <w:rsid w:val="00157A02"/>
    <w:rPr>
      <w:sz w:val="18"/>
      <w:szCs w:val="18"/>
    </w:rPr>
  </w:style>
  <w:style w:type="paragraph" w:customStyle="1" w:styleId="MarginEdition">
    <w:name w:val="Margin Edition"/>
    <w:basedOn w:val="MarginNote"/>
    <w:rsid w:val="00157A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A02"/>
    <w:rPr>
      <w:sz w:val="2"/>
      <w:szCs w:val="2"/>
    </w:rPr>
  </w:style>
  <w:style w:type="character" w:customStyle="1" w:styleId="Small">
    <w:name w:val="Small"/>
    <w:basedOn w:val="DefaultParagraphFont"/>
    <w:rsid w:val="00157A02"/>
    <w:rPr>
      <w:sz w:val="16"/>
    </w:rPr>
  </w:style>
  <w:style w:type="paragraph" w:customStyle="1" w:styleId="WideTable">
    <w:name w:val="Wide Table"/>
    <w:basedOn w:val="Normal"/>
    <w:rsid w:val="00157A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A02"/>
  </w:style>
  <w:style w:type="paragraph" w:styleId="Quote">
    <w:name w:val="Quote"/>
    <w:basedOn w:val="Heading1"/>
    <w:link w:val="QuoteChar"/>
    <w:qFormat/>
    <w:rsid w:val="00157A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A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A02"/>
    <w:pPr>
      <w:pageBreakBefore/>
    </w:pPr>
  </w:style>
  <w:style w:type="paragraph" w:customStyle="1" w:styleId="Border">
    <w:name w:val="Border"/>
    <w:basedOn w:val="Normal"/>
    <w:qFormat/>
    <w:rsid w:val="00157A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A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A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A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A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A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A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A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A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A02"/>
    <w:rPr>
      <w:u w:val="single"/>
    </w:rPr>
  </w:style>
  <w:style w:type="character" w:customStyle="1" w:styleId="BoldandItalics">
    <w:name w:val="Bold and Italics"/>
    <w:qFormat/>
    <w:rsid w:val="00157A02"/>
    <w:rPr>
      <w:b/>
      <w:i/>
      <w:u w:val="none"/>
    </w:rPr>
  </w:style>
  <w:style w:type="paragraph" w:styleId="BalloonText">
    <w:name w:val="Balloon Text"/>
    <w:basedOn w:val="Normal"/>
    <w:link w:val="BalloonTextChar"/>
    <w:rsid w:val="00157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A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A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A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A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A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A02"/>
    <w:pPr>
      <w:spacing w:before="0" w:after="0"/>
    </w:pPr>
  </w:style>
  <w:style w:type="paragraph" w:customStyle="1" w:styleId="BodyTextBold">
    <w:name w:val="Body Text Bold"/>
    <w:basedOn w:val="BodyText"/>
    <w:qFormat/>
    <w:rsid w:val="00157A02"/>
    <w:rPr>
      <w:b/>
    </w:rPr>
  </w:style>
  <w:style w:type="character" w:styleId="Hyperlink">
    <w:name w:val="Hyperlink"/>
    <w:basedOn w:val="DefaultParagraphFont"/>
    <w:uiPriority w:val="99"/>
    <w:unhideWhenUsed/>
    <w:rsid w:val="00D627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3817</Characters>
  <Application>Microsoft Office Word</Application>
  <DocSecurity>0</DocSecurity>
  <Lines>136</Lines>
  <Paragraphs>84</Paragraphs>
  <ScaleCrop>false</ScaleCrop>
  <Company>Author-it Software Corporation Ltd.</Company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UETDRMP011 Testing of connections to low voltage electricity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