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B02" w:rsidP="00657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UETDRMP001 Apply access authority procedures to work on or near electrical apparatus</w:t>
      </w:r>
      <w:r>
        <w:fldChar w:fldCharType="end"/>
      </w:r>
    </w:p>
    <w:p w:rsidR="00657B02" w:rsidP="00657B02">
      <w:pPr>
        <w:pStyle w:val="Version"/>
        <w:sectPr w:rsidSect="00712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D8E" w:rsidP="00712D8E">
      <w:pPr>
        <w:pStyle w:val="SuperHeading"/>
      </w:pPr>
      <w:r w:rsidRPr="00712D8E">
        <w:t>UETDRMP001 Apply access authority procedures to work on or near electrical apparatus</w:t>
      </w:r>
    </w:p>
    <w:p w:rsidR="00000000" w:rsidRPr="00712D8E" w:rsidP="00712D8E">
      <w:pPr>
        <w:pStyle w:val="Heading1"/>
      </w:pPr>
      <w:bookmarkStart w:id="1" w:name="O_1236318"/>
      <w:bookmarkEnd w:id="1"/>
      <w:r w:rsidRPr="00712D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2" w:name="O_1236319"/>
      <w:bookmarkEnd w:id="2"/>
      <w:r w:rsidRPr="00712D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This unit covers the knowledge and understanding of electricity supply indu</w:t>
            </w:r>
            <w:r w:rsidRPr="00712D8E">
              <w:t>stry (ESI) access authority procedures for work on or near ESI electrical apparatus.</w:t>
            </w:r>
          </w:p>
          <w:p w:rsidR="00000000" w:rsidRPr="00712D8E" w:rsidP="00712D8E">
            <w:pPr>
              <w:pStyle w:val="BodyText"/>
            </w:pPr>
            <w:r w:rsidRPr="00712D8E">
              <w:t>It includes the relevant state and territory access authority procedures, and organisational workplace requirements and how it applies to ESI workers to meet work health a</w:t>
            </w:r>
            <w:r w:rsidRPr="00712D8E">
              <w:t>nd safety (WHS)/occupational health and safety (OHS), mobility and mutual aid requirements.</w:t>
            </w:r>
          </w:p>
          <w:p w:rsidR="00000000" w:rsidRPr="00712D8E" w:rsidP="00712D8E">
            <w:pPr>
              <w:pStyle w:val="BodyText"/>
            </w:pPr>
            <w:r w:rsidRPr="00712D8E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712D8E" w:rsidP="00712D8E">
            <w:pPr>
              <w:pStyle w:val="BodyText"/>
            </w:pPr>
            <w:r w:rsidRPr="00712D8E">
              <w:rPr>
                <w:rStyle w:val="Emphasis"/>
              </w:rPr>
              <w:t>Refer to UET Transmission, Distributio</w:t>
            </w:r>
            <w:r w:rsidRPr="00712D8E">
              <w:rPr>
                <w:rStyle w:val="Emphasis"/>
              </w:rPr>
              <w:t>n and Rail Sector Training Package Companion Volume Implementation Guide for equivalency definition.</w:t>
            </w:r>
          </w:p>
          <w:p w:rsidR="00000000" w:rsidRPr="00712D8E" w:rsidP="00712D8E">
            <w:pPr>
              <w:pStyle w:val="BodyText"/>
            </w:pPr>
            <w:r w:rsidRPr="00712D8E">
              <w:t>No licensing applies to this unit at the time of publication.</w:t>
            </w:r>
          </w:p>
          <w:p w:rsidR="00000000" w:rsidRPr="00712D8E" w:rsidP="00712D8E">
            <w:pPr>
              <w:pStyle w:val="BodyText"/>
            </w:pPr>
            <w:r w:rsidRPr="00712D8E">
              <w:t>Other conditions may also apply under state and territory legislative and regulatory licencin</w:t>
            </w:r>
            <w:r w:rsidRPr="00712D8E">
              <w:t>g requirements which must be confirmed prior to commencing this unit.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3" w:name="O_1236320"/>
      <w:bookmarkEnd w:id="3"/>
      <w:r w:rsidRPr="00712D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UETDRMP002 ESI safety rules for work on, near or in the vicinity of electrical apparatus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4" w:name="O_1236321"/>
      <w:bookmarkEnd w:id="4"/>
      <w:r w:rsidRPr="00712D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Mobility and Portab</w:t>
            </w:r>
            <w:r w:rsidRPr="00712D8E">
              <w:t>ility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5" w:name="O_1236322"/>
      <w:bookmarkEnd w:id="5"/>
      <w:r w:rsidRPr="00712D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Not applicable.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6" w:name="O_1236323"/>
      <w:bookmarkEnd w:id="6"/>
      <w:r w:rsidRPr="00712D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700"/>
        <w:gridCol w:w="5539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PERFORMANCE CRITERIA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 xml:space="preserve">Elements describe the essential </w:t>
            </w:r>
            <w:r w:rsidRPr="00712D8E">
              <w:t>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Performance criteria describe the performa</w:t>
            </w:r>
            <w:r w:rsidRPr="00712D8E">
              <w:t xml:space="preserve">nce needed to </w:t>
            </w:r>
            <w:r w:rsidRPr="00712D8E">
              <w:t>demonstrate achievement of the element.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rPr>
                <w:rStyle w:val="SpecialBold"/>
              </w:rPr>
              <w:t xml:space="preserve">1 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rPr>
                <w:rStyle w:val="SpecialBold"/>
              </w:rPr>
              <w:t>Prepare to apply access authority procedures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1.1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Organisational workplace requirements for access authority are identified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1.2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Access authority permit is obtained in accordance with workplace re</w:t>
            </w:r>
            <w:r w:rsidRPr="00712D8E">
              <w:t>quirements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1.3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Access authority permit document is interpreted and confirmed for the specific work activity in accordance with workplace requirements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1.4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Personnel are confirmed as appropriately authorised to apply access authority procedures in accordance with workplace requirements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1.5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Hazards are identified, risks assessed, and control measures identified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rPr>
                <w:rStyle w:val="SpecialBold"/>
              </w:rPr>
              <w:t>Apply access authority procedures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2.1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Hazar</w:t>
            </w:r>
            <w:r w:rsidRPr="00712D8E">
              <w:t xml:space="preserve">d control measures are applied and monitored in accordance with workplace requirements 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2.2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 xml:space="preserve">Access authority permit specific roles and responsibilities are explained and acknowledged 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2.3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 xml:space="preserve">Permitted access area/s are confirmed and acknowledged against the access authority requirements 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2.4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Access authority permit is signed on in accordance with workplace requirements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rPr>
                <w:rStyle w:val="SpecialBold"/>
              </w:rPr>
              <w:t>Complete access authority procedures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3.1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Access authority permit cond</w:t>
            </w:r>
            <w:r w:rsidRPr="00712D8E">
              <w:t>itions are confirmed before sign off in accordance with workplace requirements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3.2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t>Access authority permit is signed off in accordance with workplace requirements</w:t>
            </w:r>
          </w:p>
        </w:tc>
      </w:tr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>
            <w:pPr>
              <w:pStyle w:val="BodyText"/>
              <w:keepLines w:val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D8E">
            <w:pPr>
              <w:pStyle w:val="BodyText"/>
              <w:rPr>
                <w:lang w:val="en-NZ"/>
              </w:rPr>
            </w:pPr>
            <w:r w:rsidRPr="00712D8E">
              <w:rPr>
                <w:rStyle w:val="SpecialBold"/>
              </w:rPr>
              <w:t>3.3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Access authority permit documentation is completed in accordance with work</w:t>
            </w:r>
            <w:r w:rsidRPr="00712D8E">
              <w:t xml:space="preserve">place requirements 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7" w:name="O_1236324"/>
      <w:bookmarkEnd w:id="7"/>
      <w:r w:rsidRPr="00712D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Foundation skills essential to performance are explicit in the performance criteria of this unit of competency.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8" w:name="O_1236325"/>
      <w:bookmarkEnd w:id="8"/>
      <w:r w:rsidRPr="00712D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Range is restricted to essential operating c</w:t>
            </w:r>
            <w:r w:rsidRPr="00712D8E">
              <w:t>onditions and any other variables essential to the work environment.</w:t>
            </w:r>
          </w:p>
          <w:p w:rsidR="00000000" w:rsidRPr="00712D8E" w:rsidP="00712D8E">
            <w:pPr>
              <w:pStyle w:val="BodyText"/>
            </w:pPr>
            <w:r w:rsidRPr="00712D8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9" w:name="O_1236326"/>
      <w:bookmarkEnd w:id="9"/>
      <w:r w:rsidRPr="00712D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D8E" w:rsidP="00712D8E">
            <w:pPr>
              <w:pStyle w:val="BodyText"/>
            </w:pPr>
            <w:r w:rsidRPr="00712D8E">
              <w:t>This unit replaces and is not equivalent to UETTDRRF09 Apply access procedures to work on or near electrical network infrastructure.</w:t>
            </w:r>
          </w:p>
        </w:tc>
      </w:tr>
    </w:tbl>
    <w:p w:rsidR="00000000" w:rsidRPr="00712D8E" w:rsidP="00712D8E">
      <w:pPr>
        <w:pStyle w:val="NoPaddingFontSize1"/>
      </w:pPr>
    </w:p>
    <w:p w:rsidR="00000000" w:rsidRPr="00712D8E" w:rsidP="00712D8E">
      <w:pPr>
        <w:pStyle w:val="AllowPageBreak"/>
      </w:pPr>
    </w:p>
    <w:p w:rsidR="00000000" w:rsidRPr="00712D8E" w:rsidP="00712D8E">
      <w:pPr>
        <w:pStyle w:val="Heading1"/>
      </w:pPr>
      <w:bookmarkStart w:id="10" w:name="O_1236333"/>
      <w:bookmarkEnd w:id="10"/>
      <w:r w:rsidRPr="00712D8E">
        <w:t>Links</w:t>
      </w:r>
    </w:p>
    <w:p w:rsidR="00000000" w:rsidRPr="00712D8E" w:rsidP="00657B02">
      <w:pPr>
        <w:pStyle w:val="BodyText"/>
      </w:pPr>
      <w:r w:rsidRPr="00712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D140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12D8E" w:rsidP="00712D8E"/>
    <w:sectPr w:rsidSect="00712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8E" w:rsidRPr="00657B02" w:rsidP="00657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B02" w:rsidP="00712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7B02" w:rsidP="00712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7B02" w:rsidP="00712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D8E" w:rsidRPr="00657B02" w:rsidP="00657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B02" w:rsidRPr="002D2AF8" w:rsidP="00712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UETDRMP001 Apply access authority procedures to work on or near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57B02" w:rsidP="00712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D8E"/>
  </w:style>
  <w:style w:type="character" w:customStyle="1" w:styleId="Heading1Char">
    <w:name w:val="Heading 1 Char"/>
    <w:basedOn w:val="DefaultParagraphFont"/>
    <w:link w:val="Heading1"/>
    <w:rsid w:val="00712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D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2D8E"/>
    <w:rPr>
      <w:b/>
      <w:spacing w:val="0"/>
    </w:rPr>
  </w:style>
  <w:style w:type="character" w:styleId="Emphasis">
    <w:name w:val="Emphasis"/>
    <w:basedOn w:val="DefaultParagraphFont"/>
    <w:qFormat/>
    <w:rsid w:val="00712D8E"/>
    <w:rPr>
      <w:i/>
    </w:rPr>
  </w:style>
  <w:style w:type="paragraph" w:customStyle="1" w:styleId="SuperHeading">
    <w:name w:val="SuperHeading"/>
    <w:basedOn w:val="Normal"/>
    <w:rsid w:val="00712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2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D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2D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2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D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D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2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D8E"/>
  </w:style>
  <w:style w:type="paragraph" w:styleId="TableofFigures">
    <w:name w:val="table of figures"/>
    <w:basedOn w:val="Normal"/>
    <w:next w:val="Normal"/>
    <w:semiHidden/>
    <w:rsid w:val="00712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D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2D8E"/>
    <w:rPr>
      <w:rFonts w:ascii="Wingdings" w:hAnsi="Wingdings"/>
    </w:rPr>
  </w:style>
  <w:style w:type="paragraph" w:customStyle="1" w:styleId="TableHeading">
    <w:name w:val="Table Heading"/>
    <w:basedOn w:val="HeadingBase"/>
    <w:rsid w:val="00712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D8E"/>
    <w:rPr>
      <w:color w:val="0033CC"/>
      <w:u w:val="none"/>
    </w:rPr>
  </w:style>
  <w:style w:type="paragraph" w:customStyle="1" w:styleId="BodyTextRight">
    <w:name w:val="Body Text Right"/>
    <w:basedOn w:val="BodyText"/>
    <w:rsid w:val="00712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D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D8E"/>
    <w:rPr>
      <w:sz w:val="32"/>
    </w:rPr>
  </w:style>
  <w:style w:type="paragraph" w:customStyle="1" w:styleId="HeadingProcedure">
    <w:name w:val="Heading Procedure"/>
    <w:basedOn w:val="HeadingBase"/>
    <w:next w:val="Normal"/>
    <w:rsid w:val="00712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D8E"/>
    <w:pPr>
      <w:spacing w:before="60" w:after="60"/>
    </w:pPr>
  </w:style>
  <w:style w:type="paragraph" w:styleId="ListContinue">
    <w:name w:val="List Continue"/>
    <w:basedOn w:val="List"/>
    <w:rsid w:val="00712D8E"/>
    <w:pPr>
      <w:ind w:firstLine="0"/>
    </w:pPr>
  </w:style>
  <w:style w:type="paragraph" w:customStyle="1" w:styleId="ListNote">
    <w:name w:val="List Note"/>
    <w:basedOn w:val="List"/>
    <w:rsid w:val="00712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D8E"/>
    <w:rPr>
      <w:rFonts w:ascii="Courier New" w:hAnsi="Courier New"/>
    </w:rPr>
  </w:style>
  <w:style w:type="paragraph" w:customStyle="1" w:styleId="NoteBullet">
    <w:name w:val="Note Bullet"/>
    <w:basedOn w:val="Note"/>
    <w:rsid w:val="00712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D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2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D8E"/>
    <w:rPr>
      <w:b/>
      <w:smallCaps/>
    </w:rPr>
  </w:style>
  <w:style w:type="paragraph" w:customStyle="1" w:styleId="TableListNumber">
    <w:name w:val="Table List Number"/>
    <w:basedOn w:val="ListNumber"/>
    <w:rsid w:val="00712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D8E"/>
    <w:pPr>
      <w:numPr>
        <w:numId w:val="7"/>
      </w:numPr>
    </w:pPr>
  </w:style>
  <w:style w:type="paragraph" w:customStyle="1" w:styleId="ListAlpha2">
    <w:name w:val="List Alpha 2"/>
    <w:basedOn w:val="List2"/>
    <w:rsid w:val="00712D8E"/>
    <w:pPr>
      <w:numPr>
        <w:numId w:val="6"/>
      </w:numPr>
    </w:pPr>
  </w:style>
  <w:style w:type="paragraph" w:styleId="List2">
    <w:name w:val="List 2"/>
    <w:basedOn w:val="BodyText"/>
    <w:rsid w:val="00712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D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D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2D8E"/>
    <w:pPr>
      <w:numPr>
        <w:numId w:val="2"/>
      </w:numPr>
    </w:pPr>
  </w:style>
  <w:style w:type="paragraph" w:styleId="ListContinue2">
    <w:name w:val="List Continue 2"/>
    <w:basedOn w:val="List2"/>
    <w:rsid w:val="00712D8E"/>
    <w:pPr>
      <w:ind w:firstLine="0"/>
    </w:pPr>
  </w:style>
  <w:style w:type="paragraph" w:styleId="ListContinue3">
    <w:name w:val="List Continue 3"/>
    <w:basedOn w:val="List3"/>
    <w:rsid w:val="00712D8E"/>
    <w:pPr>
      <w:ind w:left="1021" w:firstLine="0"/>
    </w:pPr>
  </w:style>
  <w:style w:type="paragraph" w:styleId="ListContinue4">
    <w:name w:val="List Continue 4"/>
    <w:basedOn w:val="List4"/>
    <w:rsid w:val="00712D8E"/>
    <w:pPr>
      <w:ind w:firstLine="0"/>
    </w:pPr>
  </w:style>
  <w:style w:type="paragraph" w:styleId="ListContinue5">
    <w:name w:val="List Continue 5"/>
    <w:basedOn w:val="List5"/>
    <w:rsid w:val="00712D8E"/>
    <w:pPr>
      <w:ind w:firstLine="0"/>
    </w:pPr>
  </w:style>
  <w:style w:type="paragraph" w:styleId="ListNumber3">
    <w:name w:val="List Number 3"/>
    <w:basedOn w:val="List3"/>
    <w:rsid w:val="00712D8E"/>
    <w:pPr>
      <w:numPr>
        <w:numId w:val="3"/>
      </w:numPr>
    </w:pPr>
  </w:style>
  <w:style w:type="paragraph" w:styleId="ListNumber4">
    <w:name w:val="List Number 4"/>
    <w:basedOn w:val="List4"/>
    <w:rsid w:val="00712D8E"/>
    <w:pPr>
      <w:numPr>
        <w:numId w:val="4"/>
      </w:numPr>
    </w:pPr>
  </w:style>
  <w:style w:type="paragraph" w:styleId="ListNumber5">
    <w:name w:val="List Number 5"/>
    <w:basedOn w:val="List5"/>
    <w:rsid w:val="00712D8E"/>
    <w:pPr>
      <w:numPr>
        <w:numId w:val="5"/>
      </w:numPr>
    </w:pPr>
  </w:style>
  <w:style w:type="paragraph" w:styleId="BlockText">
    <w:name w:val="Block Text"/>
    <w:basedOn w:val="Normal"/>
    <w:rsid w:val="00712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D8E"/>
    <w:rPr>
      <w:sz w:val="16"/>
      <w:vertAlign w:val="superscript"/>
    </w:rPr>
  </w:style>
  <w:style w:type="character" w:customStyle="1" w:styleId="Symbols">
    <w:name w:val="Symbols"/>
    <w:basedOn w:val="DefaultParagraphFont"/>
    <w:rsid w:val="00712D8E"/>
    <w:rPr>
      <w:rFonts w:ascii="Symbol" w:hAnsi="Symbol"/>
    </w:rPr>
  </w:style>
  <w:style w:type="character" w:customStyle="1" w:styleId="MenuOptions">
    <w:name w:val="Menu Options"/>
    <w:basedOn w:val="DefaultParagraphFont"/>
    <w:rsid w:val="00712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D8E"/>
    <w:rPr>
      <w:b/>
    </w:rPr>
  </w:style>
  <w:style w:type="character" w:customStyle="1" w:styleId="Underlined">
    <w:name w:val="Underlined"/>
    <w:basedOn w:val="DefaultParagraphFont"/>
    <w:rsid w:val="00712D8E"/>
    <w:rPr>
      <w:u w:val="single"/>
    </w:rPr>
  </w:style>
  <w:style w:type="paragraph" w:customStyle="1" w:styleId="TableBodyTextRight">
    <w:name w:val="Table Body Text Right"/>
    <w:basedOn w:val="TableBodyText"/>
    <w:rsid w:val="00712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D8E"/>
    <w:rPr>
      <w:sz w:val="18"/>
    </w:rPr>
  </w:style>
  <w:style w:type="paragraph" w:customStyle="1" w:styleId="BodySmallRight">
    <w:name w:val="Body Small Right"/>
    <w:basedOn w:val="BodyTextRight"/>
    <w:rsid w:val="00712D8E"/>
    <w:rPr>
      <w:sz w:val="18"/>
      <w:szCs w:val="18"/>
    </w:rPr>
  </w:style>
  <w:style w:type="paragraph" w:customStyle="1" w:styleId="MarginEdition">
    <w:name w:val="Margin Edition"/>
    <w:basedOn w:val="MarginNote"/>
    <w:rsid w:val="00712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D8E"/>
    <w:rPr>
      <w:sz w:val="2"/>
      <w:szCs w:val="2"/>
    </w:rPr>
  </w:style>
  <w:style w:type="character" w:customStyle="1" w:styleId="Small">
    <w:name w:val="Small"/>
    <w:basedOn w:val="DefaultParagraphFont"/>
    <w:rsid w:val="00712D8E"/>
    <w:rPr>
      <w:sz w:val="16"/>
    </w:rPr>
  </w:style>
  <w:style w:type="paragraph" w:customStyle="1" w:styleId="WideTable">
    <w:name w:val="Wide Table"/>
    <w:basedOn w:val="Normal"/>
    <w:rsid w:val="00712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D8E"/>
  </w:style>
  <w:style w:type="paragraph" w:styleId="Quote">
    <w:name w:val="Quote"/>
    <w:basedOn w:val="Heading1"/>
    <w:link w:val="QuoteChar"/>
    <w:qFormat/>
    <w:rsid w:val="00712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D8E"/>
    <w:pPr>
      <w:pageBreakBefore/>
    </w:pPr>
  </w:style>
  <w:style w:type="paragraph" w:customStyle="1" w:styleId="Border">
    <w:name w:val="Border"/>
    <w:basedOn w:val="Normal"/>
    <w:qFormat/>
    <w:rsid w:val="00712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D8E"/>
    <w:rPr>
      <w:u w:val="single"/>
    </w:rPr>
  </w:style>
  <w:style w:type="character" w:customStyle="1" w:styleId="BoldandItalics">
    <w:name w:val="Bold and Italics"/>
    <w:qFormat/>
    <w:rsid w:val="00712D8E"/>
    <w:rPr>
      <w:b/>
      <w:i/>
      <w:u w:val="none"/>
    </w:rPr>
  </w:style>
  <w:style w:type="paragraph" w:styleId="BalloonText">
    <w:name w:val="Balloon Text"/>
    <w:basedOn w:val="Normal"/>
    <w:link w:val="BalloonTextChar"/>
    <w:rsid w:val="00712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D8E"/>
    <w:pPr>
      <w:spacing w:before="0" w:after="0"/>
    </w:pPr>
  </w:style>
  <w:style w:type="paragraph" w:customStyle="1" w:styleId="BodyTextBold">
    <w:name w:val="Body Text Bold"/>
    <w:basedOn w:val="BodyText"/>
    <w:qFormat/>
    <w:rsid w:val="00712D8E"/>
    <w:rPr>
      <w:b/>
    </w:rPr>
  </w:style>
  <w:style w:type="character" w:styleId="Hyperlink">
    <w:name w:val="Hyperlink"/>
    <w:basedOn w:val="DefaultParagraphFont"/>
    <w:uiPriority w:val="99"/>
    <w:unhideWhenUsed/>
    <w:rsid w:val="00657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3386</Characters>
  <Application>Microsoft Office Word</Application>
  <DocSecurity>0</DocSecurity>
  <Lines>147</Lines>
  <Paragraphs>75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UETDRMP001 Apply access authority procedures to work on or near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