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72D6" w:rsidP="005472D6">
      <w:pPr>
        <w:pStyle w:val="Title"/>
      </w:pPr>
      <w:r>
        <w:fldChar w:fldCharType="begin"/>
      </w:r>
      <w:r>
        <w:instrText xml:space="preserve"> TITLE   \* MERGEFORMAT </w:instrText>
      </w:r>
      <w:r>
        <w:fldChar w:fldCharType="separate"/>
      </w:r>
      <w:r>
        <w:t>UETDRIS030 Install high voltage mobile generator</w:t>
      </w:r>
      <w:r>
        <w:fldChar w:fldCharType="end"/>
      </w:r>
    </w:p>
    <w:p w:rsidR="005472D6" w:rsidP="005472D6">
      <w:pPr>
        <w:pStyle w:val="Version"/>
        <w:sectPr w:rsidSect="007B7C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7C95" w:rsidP="007B7C95">
      <w:pPr>
        <w:pStyle w:val="SuperHeading"/>
      </w:pPr>
      <w:r w:rsidRPr="007B7C95">
        <w:t>UETDRIS030 Install high voltage mobile generator</w:t>
      </w:r>
    </w:p>
    <w:p w:rsidR="00000000" w:rsidRPr="007B7C95" w:rsidP="007B7C95">
      <w:pPr>
        <w:pStyle w:val="Heading1"/>
      </w:pPr>
      <w:bookmarkStart w:id="1" w:name="O_1237078"/>
      <w:bookmarkEnd w:id="1"/>
      <w:r w:rsidRPr="007B7C95">
        <w:t>Modification History</w:t>
      </w:r>
    </w:p>
    <w:tbl>
      <w:tblPr>
        <w:tblW w:w="9497" w:type="dxa"/>
        <w:tblLayout w:type="fixed"/>
        <w:tblCellMar>
          <w:left w:w="62" w:type="dxa"/>
          <w:right w:w="62" w:type="dxa"/>
        </w:tblCellMar>
        <w:tblLook w:val="0000"/>
      </w:tblPr>
      <w:tblGrid>
        <w:gridCol w:w="9497"/>
      </w:tblGrid>
      <w:tr w:rsidTr="007B7C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C95" w:rsidP="007B7C95">
            <w:pPr>
              <w:pStyle w:val="BodyText"/>
            </w:pPr>
            <w:r w:rsidRPr="007B7C95">
              <w:t>Release 1. This is the first release of this unit of competency in the UET Transmission, Distribution and Rail Sector Training Package Release 4.0.</w:t>
            </w:r>
          </w:p>
        </w:tc>
      </w:tr>
    </w:tbl>
    <w:p w:rsidR="00000000" w:rsidRPr="007B7C95" w:rsidP="007B7C95">
      <w:pPr>
        <w:pStyle w:val="NoPaddingFontSize1"/>
      </w:pPr>
    </w:p>
    <w:p w:rsidR="00000000" w:rsidRPr="007B7C95" w:rsidP="007B7C95">
      <w:pPr>
        <w:pStyle w:val="AllowPageBreak"/>
      </w:pPr>
    </w:p>
    <w:p w:rsidR="00000000" w:rsidRPr="007B7C95" w:rsidP="007B7C95">
      <w:pPr>
        <w:pStyle w:val="Heading1"/>
      </w:pPr>
      <w:bookmarkStart w:id="2" w:name="O_1237079"/>
      <w:bookmarkEnd w:id="2"/>
      <w:r w:rsidRPr="007B7C95">
        <w:t>Application</w:t>
      </w:r>
    </w:p>
    <w:tbl>
      <w:tblPr>
        <w:tblW w:w="9497" w:type="dxa"/>
        <w:tblLayout w:type="fixed"/>
        <w:tblCellMar>
          <w:left w:w="62" w:type="dxa"/>
          <w:right w:w="62" w:type="dxa"/>
        </w:tblCellMar>
        <w:tblLook w:val="0000"/>
      </w:tblPr>
      <w:tblGrid>
        <w:gridCol w:w="9497"/>
      </w:tblGrid>
      <w:tr w:rsidTr="007B7C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C95" w:rsidP="007B7C95">
            <w:pPr>
              <w:pStyle w:val="BodyText"/>
            </w:pPr>
            <w:r w:rsidRPr="007B7C95">
              <w:t>This unit includes the skills and knowledge r</w:t>
            </w:r>
            <w:r w:rsidRPr="007B7C95">
              <w:t>equired to install a high voltage (HV) mobile generator in the electricity supply industry (ESI).</w:t>
            </w:r>
          </w:p>
          <w:p w:rsidR="00000000" w:rsidRPr="007B7C95" w:rsidP="007B7C95">
            <w:pPr>
              <w:pStyle w:val="BodyText"/>
            </w:pPr>
            <w:r w:rsidRPr="007B7C95">
              <w:t>It includes selecting, connecting, synchronising, operating and disconnecting of a temporary mobile generator to HV network assets to maintain supply.</w:t>
            </w:r>
          </w:p>
          <w:p w:rsidR="00000000" w:rsidRPr="007B7C95" w:rsidP="007B7C95">
            <w:pPr>
              <w:pStyle w:val="BodyText"/>
            </w:pPr>
            <w:r w:rsidRPr="007B7C95">
              <w:rPr>
                <w:rStyle w:val="Emphasis"/>
              </w:rPr>
              <w:t>Note: E</w:t>
            </w:r>
            <w:r w:rsidRPr="007B7C95">
              <w:rPr>
                <w:rStyle w:val="Emphasis"/>
              </w:rPr>
              <w:t>ntry into this unit is for users who:</w:t>
            </w:r>
          </w:p>
          <w:p w:rsidR="00000000" w:rsidRPr="007B7C95" w:rsidP="007B7C95">
            <w:pPr>
              <w:pStyle w:val="ListBullet"/>
            </w:pPr>
            <w:r w:rsidRPr="007B7C95">
              <w:rPr>
                <w:rStyle w:val="Emphasis"/>
              </w:rPr>
              <w:t>hold the unit UETDREL005 Work safely in the vicinity of live electrical apparatus or equivalent,</w:t>
            </w:r>
          </w:p>
          <w:p w:rsidR="00000000" w:rsidRPr="007B7C95" w:rsidP="007B7C95">
            <w:pPr>
              <w:pStyle w:val="BodyText"/>
            </w:pPr>
            <w:r w:rsidRPr="007B7C95">
              <w:rPr>
                <w:rStyle w:val="Emphasis"/>
              </w:rPr>
              <w:t>and</w:t>
            </w:r>
          </w:p>
          <w:p w:rsidR="00000000" w:rsidRPr="007B7C95" w:rsidP="007B7C95">
            <w:pPr>
              <w:pStyle w:val="ListBullet"/>
            </w:pPr>
            <w:r w:rsidRPr="007B7C95">
              <w:rPr>
                <w:rStyle w:val="Emphasis"/>
              </w:rPr>
              <w:t>hold a UET Certificate III Qualification or the equivalent issued in an Australian state or territory,</w:t>
            </w:r>
          </w:p>
          <w:p w:rsidR="00000000" w:rsidRPr="007B7C95" w:rsidP="007B7C95">
            <w:pPr>
              <w:pStyle w:val="BodyText"/>
            </w:pPr>
            <w:r w:rsidRPr="007B7C95">
              <w:rPr>
                <w:rStyle w:val="Emphasis"/>
              </w:rPr>
              <w:t>or</w:t>
            </w:r>
          </w:p>
          <w:p w:rsidR="00000000" w:rsidRPr="007B7C95" w:rsidP="007B7C95">
            <w:pPr>
              <w:pStyle w:val="ListBullet"/>
            </w:pPr>
            <w:r w:rsidRPr="007B7C95">
              <w:rPr>
                <w:rStyle w:val="Emphasis"/>
              </w:rPr>
              <w:t xml:space="preserve">hold an </w:t>
            </w:r>
            <w:r w:rsidRPr="007B7C95">
              <w:rPr>
                <w:rStyle w:val="Emphasis"/>
              </w:rPr>
              <w:t>Electrician or Electrical Fitter licence or the equivalent issued in an Australian state or territory,</w:t>
            </w:r>
          </w:p>
          <w:p w:rsidR="00000000" w:rsidRPr="007B7C95" w:rsidP="007B7C95">
            <w:pPr>
              <w:pStyle w:val="BodyText"/>
            </w:pPr>
            <w:r w:rsidRPr="007B7C95">
              <w:rPr>
                <w:rStyle w:val="Emphasis"/>
              </w:rPr>
              <w:t xml:space="preserve">or </w:t>
            </w:r>
          </w:p>
          <w:p w:rsidR="00000000" w:rsidRPr="007B7C95" w:rsidP="007B7C95">
            <w:pPr>
              <w:pStyle w:val="ListBullet"/>
            </w:pPr>
            <w:r w:rsidRPr="007B7C95">
              <w:rPr>
                <w:rStyle w:val="Emphasis"/>
              </w:rPr>
              <w:t>hold an Electrician or Electrical Fitter qualification or the equivalent issued in an Australian state or territory.</w:t>
            </w:r>
          </w:p>
          <w:p w:rsidR="00000000" w:rsidRPr="007B7C95" w:rsidP="007B7C95">
            <w:pPr>
              <w:pStyle w:val="BodyText"/>
            </w:pPr>
            <w:r w:rsidRPr="007B7C95">
              <w:rPr>
                <w:rStyle w:val="Emphasis"/>
              </w:rPr>
              <w:t>Electricians or Electrical Fitters are still required to complete the unit UETDRIS032 Solve problems in network equipment or equivalent to meet the requirements of working within the electricity supply industry (ESI).</w:t>
            </w:r>
          </w:p>
          <w:p w:rsidR="00000000" w:rsidRPr="007B7C95" w:rsidP="007B7C95">
            <w:pPr>
              <w:pStyle w:val="BodyText"/>
            </w:pPr>
            <w:r w:rsidRPr="007B7C95">
              <w:t>The application of the skills and know</w:t>
            </w:r>
            <w:r w:rsidRPr="007B7C95">
              <w:t>ledge described in this unit may require a licence/registration to practice in the workplace.</w:t>
            </w:r>
          </w:p>
          <w:p w:rsidR="00000000" w:rsidRPr="007B7C95" w:rsidP="007B7C95">
            <w:pPr>
              <w:pStyle w:val="BodyText"/>
            </w:pPr>
            <w:r w:rsidRPr="007B7C95">
              <w:t>Other conditions may also apply under state and territory legislative and regulatory licensing requirements which must be confirmed prior to commencing this unit.</w:t>
            </w:r>
          </w:p>
        </w:tc>
      </w:tr>
    </w:tbl>
    <w:p w:rsidR="00000000" w:rsidRPr="007B7C95" w:rsidP="007B7C95">
      <w:pPr>
        <w:pStyle w:val="NoPaddingFontSize1"/>
      </w:pPr>
    </w:p>
    <w:p w:rsidR="00000000" w:rsidRPr="007B7C95" w:rsidP="007B7C95">
      <w:pPr>
        <w:pStyle w:val="AllowPageBreak"/>
      </w:pPr>
    </w:p>
    <w:p w:rsidR="00000000" w:rsidRPr="007B7C95" w:rsidP="007B7C95">
      <w:pPr>
        <w:pStyle w:val="Heading1"/>
      </w:pPr>
      <w:bookmarkStart w:id="3" w:name="O_1237080"/>
      <w:bookmarkEnd w:id="3"/>
      <w:r w:rsidRPr="007B7C95">
        <w:t>Pre-requisite Unit</w:t>
      </w:r>
    </w:p>
    <w:tbl>
      <w:tblPr>
        <w:tblW w:w="9497" w:type="dxa"/>
        <w:tblLayout w:type="fixed"/>
        <w:tblCellMar>
          <w:left w:w="62" w:type="dxa"/>
          <w:right w:w="62" w:type="dxa"/>
        </w:tblCellMar>
        <w:tblLook w:val="0000"/>
      </w:tblPr>
      <w:tblGrid>
        <w:gridCol w:w="9497"/>
      </w:tblGrid>
      <w:tr w:rsidTr="007B7C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C95" w:rsidP="007B7C95">
            <w:pPr>
              <w:pStyle w:val="BodyText"/>
            </w:pPr>
            <w:r w:rsidRPr="007B7C95">
              <w:t>Refer to Application.</w:t>
            </w:r>
          </w:p>
        </w:tc>
      </w:tr>
    </w:tbl>
    <w:p w:rsidR="00000000" w:rsidRPr="007B7C95" w:rsidP="007B7C95">
      <w:pPr>
        <w:pStyle w:val="NoPaddingFontSize1"/>
      </w:pPr>
    </w:p>
    <w:p w:rsidR="00000000" w:rsidRPr="007B7C95" w:rsidP="007B7C95">
      <w:pPr>
        <w:pStyle w:val="AllowPageBreak"/>
      </w:pPr>
    </w:p>
    <w:p w:rsidR="00000000" w:rsidRPr="007B7C95" w:rsidP="007B7C95">
      <w:pPr>
        <w:pStyle w:val="Heading1"/>
      </w:pPr>
      <w:bookmarkStart w:id="4" w:name="O_1237081"/>
      <w:bookmarkEnd w:id="4"/>
      <w:r w:rsidRPr="007B7C95">
        <w:t>Competency Field</w:t>
      </w:r>
    </w:p>
    <w:tbl>
      <w:tblPr>
        <w:tblW w:w="9497" w:type="dxa"/>
        <w:tblLayout w:type="fixed"/>
        <w:tblCellMar>
          <w:left w:w="62" w:type="dxa"/>
          <w:right w:w="62" w:type="dxa"/>
        </w:tblCellMar>
        <w:tblLook w:val="0000"/>
      </w:tblPr>
      <w:tblGrid>
        <w:gridCol w:w="9497"/>
      </w:tblGrid>
      <w:tr w:rsidTr="007B7C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C95" w:rsidP="007B7C95">
            <w:pPr>
              <w:pStyle w:val="BodyText"/>
            </w:pPr>
            <w:r w:rsidRPr="007B7C95">
              <w:t>Industry Specific Cross Discipline</w:t>
            </w:r>
          </w:p>
        </w:tc>
      </w:tr>
    </w:tbl>
    <w:p w:rsidR="00000000" w:rsidRPr="007B7C95" w:rsidP="007B7C95">
      <w:pPr>
        <w:pStyle w:val="NoPaddingFontSize1"/>
      </w:pPr>
    </w:p>
    <w:p w:rsidR="00000000" w:rsidRPr="007B7C95" w:rsidP="007B7C95">
      <w:pPr>
        <w:pStyle w:val="AllowPageBreak"/>
      </w:pPr>
    </w:p>
    <w:p w:rsidR="00000000" w:rsidRPr="007B7C95" w:rsidP="007B7C95">
      <w:pPr>
        <w:pStyle w:val="Heading1"/>
      </w:pPr>
      <w:bookmarkStart w:id="5" w:name="O_1237082"/>
      <w:bookmarkEnd w:id="5"/>
      <w:r w:rsidRPr="007B7C95">
        <w:t>Unit Sector</w:t>
      </w:r>
    </w:p>
    <w:tbl>
      <w:tblPr>
        <w:tblW w:w="9497" w:type="dxa"/>
        <w:tblLayout w:type="fixed"/>
        <w:tblCellMar>
          <w:left w:w="62" w:type="dxa"/>
          <w:right w:w="62" w:type="dxa"/>
        </w:tblCellMar>
        <w:tblLook w:val="0000"/>
      </w:tblPr>
      <w:tblGrid>
        <w:gridCol w:w="9497"/>
      </w:tblGrid>
      <w:tr w:rsidTr="007B7C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C95" w:rsidP="007B7C95">
            <w:pPr>
              <w:pStyle w:val="BodyText"/>
            </w:pPr>
            <w:r w:rsidRPr="007B7C95">
              <w:t>Not applicable.</w:t>
            </w:r>
          </w:p>
        </w:tc>
      </w:tr>
    </w:tbl>
    <w:p w:rsidR="00000000" w:rsidRPr="007B7C95" w:rsidP="007B7C95">
      <w:pPr>
        <w:pStyle w:val="NoPaddingFontSize1"/>
      </w:pPr>
    </w:p>
    <w:p w:rsidR="00000000" w:rsidRPr="007B7C95" w:rsidP="007B7C95">
      <w:pPr>
        <w:pStyle w:val="AllowPageBreak"/>
      </w:pPr>
    </w:p>
    <w:p w:rsidR="00000000" w:rsidRPr="007B7C95" w:rsidP="007B7C95">
      <w:pPr>
        <w:pStyle w:val="Heading1"/>
      </w:pPr>
      <w:bookmarkStart w:id="6" w:name="O_1237083"/>
      <w:bookmarkEnd w:id="6"/>
      <w:r w:rsidRPr="007B7C95">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7B7C9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B7C95" w:rsidP="007B7C95">
            <w:pPr>
              <w:pStyle w:val="BodyText"/>
            </w:pPr>
            <w:r w:rsidRPr="007B7C9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PERFORMANCE CRITERIA</w:t>
            </w:r>
          </w:p>
        </w:tc>
      </w:tr>
      <w:tr w:rsidTr="007B7C9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Performance criteria describe the performance needed to demonstrate achievement of the element.</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B7C95" w:rsidP="007B7C95">
            <w:pPr>
              <w:pStyle w:val="BodyText"/>
            </w:pPr>
            <w:r w:rsidRPr="007B7C95">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7B7C95" w:rsidP="007B7C95">
            <w:pPr>
              <w:pStyle w:val="BodyText"/>
            </w:pPr>
            <w:r w:rsidRPr="007B7C95">
              <w:rPr>
                <w:rStyle w:val="SpecialBold"/>
              </w:rPr>
              <w:t>Prepare to install HV mobile generator</w:t>
            </w: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Legislation, regulations, standards, codes of practice and organisational workplace requirements for the work to be done are reviewed and determined</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7C9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Work plan is obtained, confirmed and communicated with relevant personnel in accordance with workplace requirements</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7C9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Materials required for work are determined and obtained in accordance with work plan and workplace requirements</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7C9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 xml:space="preserve">Plant, tools, equipment and personal protective equipment (PPE) required for work are determined, obtained and confirmed in working order </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7C9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Hazards are identified, risks assessed and control measures identified and applied</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7C9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 xml:space="preserve">Work is prioritised </w:t>
            </w:r>
            <w:r w:rsidRPr="007B7C95">
              <w:t>and sequenced for completion in accordance with work plan and workplace requirements</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7C9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Worksite is prepared in accordance with the work plan and workplace requirements</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B7C95" w:rsidP="007B7C95">
            <w:pPr>
              <w:pStyle w:val="BodyText"/>
            </w:pPr>
            <w:r w:rsidRPr="007B7C9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B7C95" w:rsidP="007B7C95">
            <w:pPr>
              <w:pStyle w:val="BodyText"/>
            </w:pPr>
            <w:r w:rsidRPr="007B7C95">
              <w:rPr>
                <w:rStyle w:val="SpecialBold"/>
              </w:rPr>
              <w:t>Install HV mobile generator</w:t>
            </w: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Legislation, regulations, standards, codes of practice and organisational workplace requirements for the work to be performed are applied and monitored</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7C9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Work permits are received and signed in accordance with workplace requirements</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7C9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Lifting, wo</w:t>
            </w:r>
            <w:r w:rsidRPr="007B7C95">
              <w:t>rking at heights, working in confined spaces and the use of plant, tools, equipment and PPE are carried out in accordance with workplace requirements</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7C9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Hazard control measures are monitored in accordance with workplace requirements</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7C9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HV mobile generator is installed in accordance with workplace requirements</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7C9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 xml:space="preserve">HV mobile generator is synchronised to HV network in accordance with the work plan and workplace requirements </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7C9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 xml:space="preserve">HV mobile generator is monitored in accordance with the </w:t>
            </w:r>
            <w:r w:rsidRPr="007B7C95">
              <w:t>work plan and workplace requirements</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B7C95" w:rsidP="007B7C95">
            <w:pPr>
              <w:pStyle w:val="BodyText"/>
            </w:pPr>
            <w:r w:rsidRPr="007B7C9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B7C95" w:rsidP="007B7C95">
            <w:pPr>
              <w:pStyle w:val="BodyText"/>
            </w:pPr>
            <w:r w:rsidRPr="007B7C95">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Completed work is checked for compliance against the work plan and workplace requirements</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7C9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Worksite is rehabilitated, cleaned and made saf</w:t>
            </w:r>
            <w:r w:rsidRPr="007B7C95">
              <w:t>e in accordance with workplace requirements</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7C9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Work permits are signed off in accordance with workplace requirements</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7C9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 xml:space="preserve">Plant, tools and equipment are cleaned, checked and returned to storage in accordance with workplace requirements </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7C9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t>Surplu</w:t>
            </w:r>
            <w:r w:rsidRPr="007B7C95">
              <w:t xml:space="preserve">s materials are returned to storage or disposed of in accordance with workplace requirements </w:t>
            </w:r>
          </w:p>
        </w:tc>
      </w:tr>
      <w:tr w:rsidTr="007B7C9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7C9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B7C95">
            <w:pPr>
              <w:pStyle w:val="BodyText"/>
              <w:rPr>
                <w:lang w:val="en-NZ"/>
              </w:rPr>
            </w:pPr>
            <w:r w:rsidRPr="007B7C95">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7B7C95" w:rsidP="007B7C95">
            <w:pPr>
              <w:pStyle w:val="BodyText"/>
            </w:pPr>
            <w:r w:rsidRPr="007B7C95">
              <w:t xml:space="preserve">Work records, reports and documentation are completed in accordance with workplace requirements </w:t>
            </w:r>
          </w:p>
        </w:tc>
      </w:tr>
    </w:tbl>
    <w:p w:rsidR="00000000" w:rsidRPr="007B7C95" w:rsidP="007B7C95">
      <w:pPr>
        <w:pStyle w:val="NoPaddingFontSize1"/>
      </w:pPr>
    </w:p>
    <w:p w:rsidR="00000000" w:rsidRPr="007B7C95" w:rsidP="007B7C95">
      <w:pPr>
        <w:pStyle w:val="AllowPageBreak"/>
      </w:pPr>
    </w:p>
    <w:p w:rsidR="00000000" w:rsidRPr="007B7C95" w:rsidP="007B7C95">
      <w:pPr>
        <w:pStyle w:val="Heading1"/>
      </w:pPr>
      <w:bookmarkStart w:id="7" w:name="O_1237084"/>
      <w:bookmarkEnd w:id="7"/>
      <w:r w:rsidRPr="007B7C95">
        <w:t>Foundation Skills</w:t>
      </w:r>
    </w:p>
    <w:tbl>
      <w:tblPr>
        <w:tblW w:w="9497" w:type="dxa"/>
        <w:tblLayout w:type="fixed"/>
        <w:tblCellMar>
          <w:left w:w="62" w:type="dxa"/>
          <w:right w:w="62" w:type="dxa"/>
        </w:tblCellMar>
        <w:tblLook w:val="0000"/>
      </w:tblPr>
      <w:tblGrid>
        <w:gridCol w:w="9497"/>
      </w:tblGrid>
      <w:tr w:rsidTr="007B7C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C95" w:rsidP="007B7C95">
            <w:pPr>
              <w:pStyle w:val="BodyText"/>
            </w:pPr>
            <w:r w:rsidRPr="007B7C95">
              <w:t>Foundation skills essential to performance are explicit in the performance criteria of this unit of competency.</w:t>
            </w:r>
          </w:p>
        </w:tc>
      </w:tr>
    </w:tbl>
    <w:p w:rsidR="00000000" w:rsidRPr="007B7C95" w:rsidP="007B7C95">
      <w:pPr>
        <w:pStyle w:val="NoPaddingFontSize1"/>
      </w:pPr>
    </w:p>
    <w:p w:rsidR="00000000" w:rsidRPr="007B7C95" w:rsidP="007B7C95">
      <w:pPr>
        <w:pStyle w:val="AllowPageBreak"/>
      </w:pPr>
    </w:p>
    <w:p w:rsidR="00000000" w:rsidRPr="007B7C95" w:rsidP="007B7C95">
      <w:pPr>
        <w:pStyle w:val="Heading1"/>
      </w:pPr>
      <w:bookmarkStart w:id="8" w:name="O_1237085"/>
      <w:bookmarkEnd w:id="8"/>
      <w:r w:rsidRPr="007B7C95">
        <w:t>Range of Conditions</w:t>
      </w:r>
    </w:p>
    <w:tbl>
      <w:tblPr>
        <w:tblW w:w="9497" w:type="dxa"/>
        <w:tblLayout w:type="fixed"/>
        <w:tblCellMar>
          <w:left w:w="62" w:type="dxa"/>
          <w:right w:w="62" w:type="dxa"/>
        </w:tblCellMar>
        <w:tblLook w:val="0000"/>
      </w:tblPr>
      <w:tblGrid>
        <w:gridCol w:w="9497"/>
      </w:tblGrid>
      <w:tr w:rsidTr="007B7C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C95" w:rsidP="007B7C95">
            <w:pPr>
              <w:pStyle w:val="BodyText"/>
            </w:pPr>
            <w:r w:rsidRPr="007B7C95">
              <w:t>Range is restricted to essential operating conditions and any other variables essential to the work env</w:t>
            </w:r>
            <w:r w:rsidRPr="007B7C95">
              <w:t>ironment.</w:t>
            </w:r>
          </w:p>
          <w:p w:rsidR="00000000" w:rsidRPr="007B7C95" w:rsidP="007B7C95">
            <w:pPr>
              <w:pStyle w:val="BodyText"/>
            </w:pPr>
            <w:r w:rsidRPr="007B7C95">
              <w:t>Non-essential conditions may be found in the UET Transmission, Distribution and Rail Sector Training Package Companion Volume Implementation Guide.</w:t>
            </w:r>
          </w:p>
        </w:tc>
      </w:tr>
    </w:tbl>
    <w:p w:rsidR="00000000" w:rsidRPr="007B7C95" w:rsidP="007B7C95">
      <w:pPr>
        <w:pStyle w:val="NoPaddingFontSize1"/>
      </w:pPr>
    </w:p>
    <w:p w:rsidR="00000000" w:rsidRPr="007B7C95" w:rsidP="007B7C95">
      <w:pPr>
        <w:pStyle w:val="AllowPageBreak"/>
      </w:pPr>
    </w:p>
    <w:p w:rsidR="00000000" w:rsidRPr="007B7C95" w:rsidP="007B7C95">
      <w:pPr>
        <w:pStyle w:val="Heading1"/>
      </w:pPr>
      <w:bookmarkStart w:id="9" w:name="O_1237086"/>
      <w:bookmarkEnd w:id="9"/>
      <w:r w:rsidRPr="007B7C95">
        <w:t>Unit Mapping Information</w:t>
      </w:r>
    </w:p>
    <w:tbl>
      <w:tblPr>
        <w:tblW w:w="9497" w:type="dxa"/>
        <w:tblLayout w:type="fixed"/>
        <w:tblCellMar>
          <w:left w:w="62" w:type="dxa"/>
          <w:right w:w="62" w:type="dxa"/>
        </w:tblCellMar>
        <w:tblLook w:val="0000"/>
      </w:tblPr>
      <w:tblGrid>
        <w:gridCol w:w="9497"/>
      </w:tblGrid>
      <w:tr w:rsidTr="007B7C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C95" w:rsidP="007B7C95">
            <w:pPr>
              <w:pStyle w:val="BodyText"/>
            </w:pPr>
            <w:r w:rsidRPr="007B7C95">
              <w:t>This unit replaces and is not equivalent to UETDRIS0</w:t>
            </w:r>
            <w:r w:rsidRPr="007B7C95">
              <w:t>16 Install mobile generation set for synchronised HV Genset.</w:t>
            </w:r>
          </w:p>
        </w:tc>
      </w:tr>
    </w:tbl>
    <w:p w:rsidR="00000000" w:rsidRPr="007B7C95" w:rsidP="007B7C95">
      <w:pPr>
        <w:pStyle w:val="NoPaddingFontSize1"/>
      </w:pPr>
    </w:p>
    <w:p w:rsidR="00000000" w:rsidRPr="007B7C95" w:rsidP="007B7C95">
      <w:pPr>
        <w:pStyle w:val="AllowPageBreak"/>
      </w:pPr>
    </w:p>
    <w:p w:rsidR="00000000" w:rsidRPr="007B7C95" w:rsidP="007B7C95">
      <w:pPr>
        <w:pStyle w:val="Heading1"/>
      </w:pPr>
      <w:bookmarkStart w:id="10" w:name="O_1237093"/>
      <w:bookmarkEnd w:id="10"/>
      <w:r w:rsidRPr="007B7C95">
        <w:t>Links</w:t>
      </w:r>
    </w:p>
    <w:p w:rsidR="00000000" w:rsidRPr="007B7C95" w:rsidP="005472D6">
      <w:pPr>
        <w:pStyle w:val="BodyText"/>
      </w:pPr>
      <w:r w:rsidRPr="007B7C9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C0687C">
        <w:rPr>
          <w:rStyle w:val="Hyperlink"/>
        </w:rPr>
        <w:t>https://vetnet.gov.au/Pages/TrainingDocs.aspx?q=229bace1-b7bc-4653-9300-dffb13ecfad7</w:t>
      </w:r>
      <w:r>
        <w:fldChar w:fldCharType="end"/>
      </w:r>
    </w:p>
    <w:p w:rsidR="00000000" w:rsidRPr="007B7C95" w:rsidP="007B7C95"/>
    <w:sectPr w:rsidSect="007B7C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95" w:rsidRPr="005472D6" w:rsidP="005472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2D6" w:rsidP="007B7C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72D6" w:rsidP="007B7C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72D6" w:rsidP="007B7C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2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7C95" w:rsidRPr="005472D6" w:rsidP="005472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2D6" w:rsidRPr="002D2AF8" w:rsidP="007B7C95">
    <w:pPr>
      <w:pStyle w:val="Header"/>
      <w:framePr w:wrap="around"/>
    </w:pPr>
    <w:r>
      <w:fldChar w:fldCharType="begin"/>
    </w:r>
    <w:r>
      <w:instrText xml:space="preserve"> TITLE   \* MERGEFORMAT </w:instrText>
    </w:r>
    <w:r>
      <w:fldChar w:fldCharType="separate"/>
    </w:r>
    <w:r>
      <w:t>UETDRIS030 Install high voltage mobile generator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5472D6" w:rsidP="007B7C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982B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807F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C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7C95"/>
    <w:pPr>
      <w:spacing w:before="360" w:after="60"/>
      <w:outlineLvl w:val="0"/>
    </w:pPr>
    <w:rPr>
      <w:sz w:val="32"/>
    </w:rPr>
  </w:style>
  <w:style w:type="paragraph" w:styleId="Heading2">
    <w:name w:val="heading 2"/>
    <w:basedOn w:val="HeadingBase"/>
    <w:next w:val="BodyText"/>
    <w:link w:val="Heading2Char"/>
    <w:qFormat/>
    <w:rsid w:val="007B7C95"/>
    <w:pPr>
      <w:keepLines/>
      <w:spacing w:before="240" w:after="120"/>
      <w:outlineLvl w:val="1"/>
    </w:pPr>
    <w:rPr>
      <w:sz w:val="28"/>
      <w:szCs w:val="40"/>
    </w:rPr>
  </w:style>
  <w:style w:type="paragraph" w:styleId="Heading3">
    <w:name w:val="heading 3"/>
    <w:basedOn w:val="HeadingBase"/>
    <w:next w:val="BodyText"/>
    <w:link w:val="Heading3Char"/>
    <w:qFormat/>
    <w:rsid w:val="007B7C95"/>
    <w:pPr>
      <w:spacing w:before="180" w:after="120"/>
      <w:outlineLvl w:val="2"/>
    </w:pPr>
    <w:rPr>
      <w:spacing w:val="-10"/>
      <w:kern w:val="32"/>
    </w:rPr>
  </w:style>
  <w:style w:type="paragraph" w:styleId="Heading4">
    <w:name w:val="heading 4"/>
    <w:basedOn w:val="HeadingBase"/>
    <w:next w:val="BodyText"/>
    <w:link w:val="Heading4Char"/>
    <w:qFormat/>
    <w:rsid w:val="007B7C95"/>
    <w:pPr>
      <w:spacing w:before="160" w:after="120"/>
      <w:outlineLvl w:val="3"/>
    </w:pPr>
    <w:rPr>
      <w:sz w:val="22"/>
    </w:rPr>
  </w:style>
  <w:style w:type="paragraph" w:styleId="Heading5">
    <w:name w:val="heading 5"/>
    <w:basedOn w:val="HeadingBase"/>
    <w:next w:val="Normal"/>
    <w:link w:val="Heading5Char"/>
    <w:qFormat/>
    <w:rsid w:val="007B7C95"/>
    <w:pPr>
      <w:spacing w:before="80"/>
      <w:outlineLvl w:val="4"/>
    </w:pPr>
    <w:rPr>
      <w:color w:val="918585"/>
      <w:sz w:val="20"/>
    </w:rPr>
  </w:style>
  <w:style w:type="paragraph" w:styleId="Heading6">
    <w:name w:val="heading 6"/>
    <w:basedOn w:val="HeadingBase"/>
    <w:next w:val="Normal"/>
    <w:link w:val="Heading6Char"/>
    <w:qFormat/>
    <w:rsid w:val="007B7C95"/>
    <w:pPr>
      <w:spacing w:before="60"/>
      <w:outlineLvl w:val="5"/>
    </w:pPr>
    <w:rPr>
      <w:color w:val="918585"/>
      <w:sz w:val="20"/>
    </w:rPr>
  </w:style>
  <w:style w:type="paragraph" w:styleId="Heading7">
    <w:name w:val="heading 7"/>
    <w:basedOn w:val="Normal"/>
    <w:next w:val="Normal"/>
    <w:link w:val="Heading7Char"/>
    <w:qFormat/>
    <w:rsid w:val="007B7C95"/>
    <w:pPr>
      <w:ind w:left="720"/>
      <w:outlineLvl w:val="6"/>
    </w:pPr>
    <w:rPr>
      <w:i/>
    </w:rPr>
  </w:style>
  <w:style w:type="paragraph" w:styleId="Heading8">
    <w:name w:val="heading 8"/>
    <w:basedOn w:val="Normal"/>
    <w:next w:val="Normal"/>
    <w:link w:val="Heading8Char"/>
    <w:qFormat/>
    <w:rsid w:val="007B7C95"/>
    <w:pPr>
      <w:ind w:left="720"/>
      <w:outlineLvl w:val="7"/>
    </w:pPr>
    <w:rPr>
      <w:i/>
    </w:rPr>
  </w:style>
  <w:style w:type="paragraph" w:styleId="Heading9">
    <w:name w:val="heading 9"/>
    <w:basedOn w:val="Normal"/>
    <w:next w:val="Normal"/>
    <w:link w:val="Heading9Char"/>
    <w:qFormat/>
    <w:rsid w:val="007B7C95"/>
    <w:pPr>
      <w:ind w:left="720"/>
      <w:outlineLvl w:val="8"/>
    </w:pPr>
    <w:rPr>
      <w:i/>
    </w:rPr>
  </w:style>
  <w:style w:type="character" w:default="1" w:styleId="DefaultParagraphFont">
    <w:name w:val="Default Paragraph Font"/>
    <w:uiPriority w:val="1"/>
    <w:unhideWhenUsed/>
    <w:rsid w:val="007B7C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C95"/>
  </w:style>
  <w:style w:type="character" w:customStyle="1" w:styleId="Heading1Char">
    <w:name w:val="Heading 1 Char"/>
    <w:basedOn w:val="DefaultParagraphFont"/>
    <w:link w:val="Heading1"/>
    <w:rsid w:val="007B7C95"/>
    <w:rPr>
      <w:rFonts w:ascii="Times New Roman" w:eastAsia="Times New Roman" w:hAnsi="Times New Roman" w:cs="Times New Roman"/>
      <w:b/>
      <w:sz w:val="32"/>
      <w:szCs w:val="20"/>
      <w:lang w:eastAsia="en-US"/>
    </w:rPr>
  </w:style>
  <w:style w:type="paragraph" w:styleId="BodyText">
    <w:name w:val="Body Text"/>
    <w:basedOn w:val="Normal"/>
    <w:link w:val="BodyTextChar"/>
    <w:rsid w:val="007B7C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7C95"/>
    <w:rPr>
      <w:rFonts w:ascii="Times New Roman" w:eastAsia="Times New Roman" w:hAnsi="Times New Roman" w:cs="Times New Roman"/>
      <w:sz w:val="24"/>
      <w:lang w:eastAsia="en-US"/>
    </w:rPr>
  </w:style>
  <w:style w:type="paragraph" w:styleId="ListBullet">
    <w:name w:val="List Bullet"/>
    <w:basedOn w:val="List"/>
    <w:rsid w:val="007B7C95"/>
    <w:pPr>
      <w:numPr>
        <w:numId w:val="11"/>
      </w:numPr>
      <w:tabs>
        <w:tab w:val="clear" w:pos="340"/>
      </w:tabs>
      <w:spacing w:before="40" w:after="40"/>
    </w:pPr>
  </w:style>
  <w:style w:type="character" w:customStyle="1" w:styleId="SpecialBold">
    <w:name w:val="Special Bold"/>
    <w:basedOn w:val="DefaultParagraphFont"/>
    <w:rsid w:val="007B7C95"/>
    <w:rPr>
      <w:b/>
      <w:spacing w:val="0"/>
    </w:rPr>
  </w:style>
  <w:style w:type="character" w:styleId="Emphasis">
    <w:name w:val="Emphasis"/>
    <w:basedOn w:val="DefaultParagraphFont"/>
    <w:qFormat/>
    <w:rsid w:val="007B7C95"/>
    <w:rPr>
      <w:i/>
    </w:rPr>
  </w:style>
  <w:style w:type="paragraph" w:customStyle="1" w:styleId="SuperHeading">
    <w:name w:val="SuperHeading"/>
    <w:basedOn w:val="Normal"/>
    <w:rsid w:val="007B7C95"/>
    <w:pPr>
      <w:spacing w:before="240" w:after="120"/>
      <w:outlineLvl w:val="0"/>
    </w:pPr>
    <w:rPr>
      <w:rFonts w:ascii="Times New Roman" w:hAnsi="Times New Roman"/>
      <w:b/>
      <w:sz w:val="32"/>
    </w:rPr>
  </w:style>
  <w:style w:type="paragraph" w:customStyle="1" w:styleId="AllowPageBreak">
    <w:name w:val="AllowPageBreak"/>
    <w:rsid w:val="007B7C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7C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C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7C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7C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C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C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7C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7C95"/>
    <w:rPr>
      <w:rFonts w:ascii="Courier New" w:eastAsia="Times New Roman" w:hAnsi="Courier New" w:cs="Times New Roman"/>
      <w:i/>
      <w:szCs w:val="20"/>
      <w:lang w:eastAsia="en-US"/>
    </w:rPr>
  </w:style>
  <w:style w:type="paragraph" w:customStyle="1" w:styleId="HeadingBase">
    <w:name w:val="Heading Base"/>
    <w:rsid w:val="007B7C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C95"/>
    <w:pPr>
      <w:tabs>
        <w:tab w:val="right" w:leader="dot" w:pos="9072"/>
      </w:tabs>
      <w:ind w:left="567"/>
    </w:pPr>
    <w:rPr>
      <w:szCs w:val="22"/>
    </w:rPr>
  </w:style>
  <w:style w:type="paragraph" w:customStyle="1" w:styleId="TOCBase">
    <w:name w:val="TOC Base"/>
    <w:rsid w:val="007B7C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C95"/>
    <w:pPr>
      <w:tabs>
        <w:tab w:val="right" w:leader="dot" w:pos="9072"/>
      </w:tabs>
      <w:spacing w:before="40" w:after="40"/>
      <w:ind w:left="284"/>
    </w:pPr>
    <w:rPr>
      <w:rFonts w:ascii="Times New Roman" w:hAnsi="Times New Roman"/>
    </w:rPr>
  </w:style>
  <w:style w:type="paragraph" w:styleId="TOC1">
    <w:name w:val="toc 1"/>
    <w:basedOn w:val="TOCBase"/>
    <w:next w:val="Normal"/>
    <w:rsid w:val="007B7C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7C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C95"/>
    <w:rPr>
      <w:rFonts w:ascii="Times New Roman" w:eastAsia="Times New Roman" w:hAnsi="Times New Roman" w:cs="Times New Roman"/>
      <w:sz w:val="16"/>
      <w:lang w:eastAsia="en-US"/>
    </w:rPr>
  </w:style>
  <w:style w:type="paragraph" w:styleId="Title">
    <w:name w:val="Title"/>
    <w:basedOn w:val="HeadingBase"/>
    <w:link w:val="TitleChar"/>
    <w:qFormat/>
    <w:rsid w:val="007B7C95"/>
    <w:pPr>
      <w:spacing w:before="5040"/>
      <w:jc w:val="center"/>
    </w:pPr>
    <w:rPr>
      <w:sz w:val="48"/>
      <w:szCs w:val="72"/>
      <w:lang w:val="en-US"/>
    </w:rPr>
  </w:style>
  <w:style w:type="character" w:customStyle="1" w:styleId="TitleChar">
    <w:name w:val="Title Char"/>
    <w:basedOn w:val="DefaultParagraphFont"/>
    <w:link w:val="Title"/>
    <w:rsid w:val="007B7C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C95"/>
    <w:pPr>
      <w:tabs>
        <w:tab w:val="left" w:pos="3600"/>
        <w:tab w:val="left" w:pos="3958"/>
      </w:tabs>
    </w:pPr>
  </w:style>
  <w:style w:type="paragraph" w:styleId="List">
    <w:name w:val="List"/>
    <w:basedOn w:val="BodyText"/>
    <w:next w:val="BodyText"/>
    <w:rsid w:val="007B7C95"/>
    <w:pPr>
      <w:tabs>
        <w:tab w:val="left" w:pos="340"/>
      </w:tabs>
      <w:spacing w:before="60" w:after="60"/>
      <w:ind w:left="340" w:hanging="340"/>
    </w:pPr>
  </w:style>
  <w:style w:type="paragraph" w:customStyle="1" w:styleId="Note">
    <w:name w:val="Note"/>
    <w:basedOn w:val="BodyText"/>
    <w:rsid w:val="007B7C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7C95"/>
    <w:pPr>
      <w:framePr w:wrap="auto" w:hAnchor="text" w:y="6049"/>
    </w:pPr>
    <w:rPr>
      <w:color w:val="000000"/>
      <w:sz w:val="40"/>
    </w:rPr>
  </w:style>
  <w:style w:type="paragraph" w:customStyle="1" w:styleId="TOCTitle">
    <w:name w:val="TOCTitle"/>
    <w:basedOn w:val="Heading1"/>
    <w:rsid w:val="007B7C95"/>
    <w:pPr>
      <w:spacing w:after="240"/>
      <w:jc w:val="center"/>
      <w:outlineLvl w:val="9"/>
    </w:pPr>
    <w:rPr>
      <w:caps/>
    </w:rPr>
  </w:style>
  <w:style w:type="paragraph" w:customStyle="1" w:styleId="Version">
    <w:name w:val="Version"/>
    <w:rsid w:val="007B7C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7C95"/>
    <w:pPr>
      <w:numPr>
        <w:numId w:val="12"/>
      </w:numPr>
      <w:tabs>
        <w:tab w:val="clear" w:pos="680"/>
      </w:tabs>
    </w:pPr>
  </w:style>
  <w:style w:type="paragraph" w:styleId="Index1">
    <w:name w:val="index 1"/>
    <w:basedOn w:val="Normal"/>
    <w:next w:val="Normal"/>
    <w:semiHidden/>
    <w:rsid w:val="007B7C95"/>
    <w:pPr>
      <w:keepNext w:val="0"/>
      <w:tabs>
        <w:tab w:val="right" w:pos="4176"/>
      </w:tabs>
      <w:ind w:left="198" w:hanging="198"/>
    </w:pPr>
    <w:rPr>
      <w:rFonts w:ascii="Garamond" w:hAnsi="Garamond"/>
    </w:rPr>
  </w:style>
  <w:style w:type="paragraph" w:styleId="IndexHeading">
    <w:name w:val="index heading"/>
    <w:basedOn w:val="Normal"/>
    <w:next w:val="Index1"/>
    <w:semiHidden/>
    <w:rsid w:val="007B7C95"/>
    <w:pPr>
      <w:spacing w:before="120" w:after="120"/>
    </w:pPr>
    <w:rPr>
      <w:rFonts w:ascii="Arial" w:hAnsi="Arial"/>
      <w:b/>
      <w:color w:val="918585"/>
      <w:sz w:val="24"/>
    </w:rPr>
  </w:style>
  <w:style w:type="paragraph" w:styleId="Header">
    <w:name w:val="header"/>
    <w:basedOn w:val="Normal"/>
    <w:link w:val="HeaderChar"/>
    <w:rsid w:val="007B7C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C95"/>
    <w:rPr>
      <w:rFonts w:ascii="Times New Roman" w:eastAsia="Times New Roman" w:hAnsi="Times New Roman" w:cs="Times New Roman"/>
      <w:sz w:val="16"/>
      <w:szCs w:val="20"/>
      <w:lang w:val="en-GB" w:eastAsia="en-US"/>
    </w:rPr>
  </w:style>
  <w:style w:type="paragraph" w:customStyle="1" w:styleId="Chapter">
    <w:name w:val="Chapter"/>
    <w:basedOn w:val="Normal"/>
    <w:rsid w:val="007B7C95"/>
    <w:pPr>
      <w:spacing w:before="240"/>
    </w:pPr>
    <w:rPr>
      <w:rFonts w:ascii="Times New Roman" w:hAnsi="Times New Roman"/>
      <w:smallCaps/>
      <w:spacing w:val="80"/>
      <w:sz w:val="28"/>
    </w:rPr>
  </w:style>
  <w:style w:type="paragraph" w:customStyle="1" w:styleId="InChapter">
    <w:name w:val="InChapter"/>
    <w:basedOn w:val="Heading3"/>
    <w:rsid w:val="007B7C95"/>
    <w:pPr>
      <w:spacing w:after="240"/>
      <w:outlineLvl w:val="9"/>
    </w:pPr>
    <w:rPr>
      <w:noProof/>
    </w:rPr>
  </w:style>
  <w:style w:type="paragraph" w:styleId="Index2">
    <w:name w:val="index 2"/>
    <w:basedOn w:val="Normal"/>
    <w:next w:val="Normal"/>
    <w:semiHidden/>
    <w:rsid w:val="007B7C95"/>
    <w:pPr>
      <w:tabs>
        <w:tab w:val="right" w:pos="4176"/>
      </w:tabs>
      <w:ind w:left="568" w:hanging="284"/>
    </w:pPr>
    <w:rPr>
      <w:rFonts w:ascii="Garamond" w:hAnsi="Garamond"/>
    </w:rPr>
  </w:style>
  <w:style w:type="paragraph" w:customStyle="1" w:styleId="Byline">
    <w:name w:val="Byline"/>
    <w:rsid w:val="007B7C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C95"/>
    <w:pPr>
      <w:tabs>
        <w:tab w:val="clear" w:pos="3600"/>
        <w:tab w:val="clear" w:pos="3958"/>
      </w:tabs>
      <w:jc w:val="right"/>
    </w:pPr>
  </w:style>
  <w:style w:type="paragraph" w:styleId="Caption">
    <w:name w:val="caption"/>
    <w:basedOn w:val="BodyText"/>
    <w:next w:val="Normal"/>
    <w:qFormat/>
    <w:rsid w:val="007B7C95"/>
    <w:pPr>
      <w:framePr w:w="2268" w:hSpace="181" w:vSpace="181" w:wrap="around" w:vAnchor="text" w:hAnchor="page" w:x="1135" w:y="285" w:anchorLock="1"/>
    </w:pPr>
    <w:rPr>
      <w:i/>
    </w:rPr>
  </w:style>
  <w:style w:type="paragraph" w:customStyle="1" w:styleId="MiniTOCTitle">
    <w:name w:val="MiniTOCTitle"/>
    <w:basedOn w:val="Heading4"/>
    <w:rsid w:val="007B7C95"/>
    <w:pPr>
      <w:spacing w:before="240"/>
      <w:outlineLvl w:val="9"/>
    </w:pPr>
    <w:rPr>
      <w:noProof/>
      <w:sz w:val="24"/>
    </w:rPr>
  </w:style>
  <w:style w:type="paragraph" w:customStyle="1" w:styleId="MiniTOCItem">
    <w:name w:val="MiniTOCItem"/>
    <w:basedOn w:val="ListBullet"/>
    <w:rsid w:val="007B7C95"/>
    <w:pPr>
      <w:numPr>
        <w:numId w:val="0"/>
      </w:numPr>
      <w:tabs>
        <w:tab w:val="right" w:leader="dot" w:pos="6521"/>
      </w:tabs>
      <w:spacing w:before="0" w:after="0"/>
    </w:pPr>
  </w:style>
  <w:style w:type="paragraph" w:customStyle="1" w:styleId="TOFTitle">
    <w:name w:val="TOFTitle"/>
    <w:basedOn w:val="TOCTitle"/>
    <w:rsid w:val="007B7C95"/>
  </w:style>
  <w:style w:type="paragraph" w:styleId="TableofFigures">
    <w:name w:val="table of figures"/>
    <w:basedOn w:val="Normal"/>
    <w:next w:val="Normal"/>
    <w:semiHidden/>
    <w:rsid w:val="007B7C95"/>
    <w:pPr>
      <w:tabs>
        <w:tab w:val="right" w:leader="dot" w:pos="9072"/>
      </w:tabs>
      <w:ind w:left="970" w:hanging="403"/>
    </w:pPr>
    <w:rPr>
      <w:rFonts w:ascii="Times New Roman" w:hAnsi="Times New Roman"/>
      <w:b/>
    </w:rPr>
  </w:style>
  <w:style w:type="paragraph" w:styleId="ListNumber">
    <w:name w:val="List Number"/>
    <w:basedOn w:val="List"/>
    <w:rsid w:val="007B7C95"/>
    <w:pPr>
      <w:numPr>
        <w:numId w:val="14"/>
      </w:numPr>
      <w:tabs>
        <w:tab w:val="clear" w:pos="340"/>
      </w:tabs>
    </w:pPr>
  </w:style>
  <w:style w:type="character" w:customStyle="1" w:styleId="WingdingSymbols">
    <w:name w:val="Wingding Symbols"/>
    <w:rsid w:val="007B7C95"/>
    <w:rPr>
      <w:rFonts w:ascii="Wingdings" w:hAnsi="Wingdings"/>
    </w:rPr>
  </w:style>
  <w:style w:type="paragraph" w:customStyle="1" w:styleId="TableHeading">
    <w:name w:val="Table Heading"/>
    <w:basedOn w:val="HeadingBase"/>
    <w:rsid w:val="007B7C95"/>
    <w:pPr>
      <w:keepLines/>
      <w:pBdr>
        <w:bottom w:val="single" w:sz="6" w:space="1" w:color="918585"/>
      </w:pBdr>
      <w:spacing w:before="240"/>
    </w:pPr>
  </w:style>
  <w:style w:type="character" w:customStyle="1" w:styleId="HotSpot">
    <w:name w:val="HotSpot"/>
    <w:rsid w:val="007B7C95"/>
    <w:rPr>
      <w:color w:val="0033CC"/>
      <w:u w:val="none"/>
    </w:rPr>
  </w:style>
  <w:style w:type="paragraph" w:customStyle="1" w:styleId="BodyTextRight">
    <w:name w:val="Body Text Right"/>
    <w:basedOn w:val="BodyText"/>
    <w:rsid w:val="007B7C95"/>
    <w:pPr>
      <w:spacing w:before="0" w:after="0"/>
      <w:jc w:val="right"/>
    </w:pPr>
  </w:style>
  <w:style w:type="paragraph" w:styleId="Index3">
    <w:name w:val="index 3"/>
    <w:basedOn w:val="ListNumber2"/>
    <w:next w:val="Normal"/>
    <w:semiHidden/>
    <w:rsid w:val="007B7C95"/>
    <w:pPr>
      <w:numPr>
        <w:numId w:val="0"/>
      </w:numPr>
      <w:tabs>
        <w:tab w:val="right" w:leader="dot" w:pos="4176"/>
      </w:tabs>
    </w:pPr>
  </w:style>
  <w:style w:type="paragraph" w:styleId="ListNumber2">
    <w:name w:val="List Number 2"/>
    <w:basedOn w:val="List2"/>
    <w:rsid w:val="007B7C95"/>
    <w:pPr>
      <w:numPr>
        <w:numId w:val="9"/>
      </w:numPr>
      <w:tabs>
        <w:tab w:val="clear" w:pos="1060"/>
      </w:tabs>
    </w:pPr>
  </w:style>
  <w:style w:type="paragraph" w:customStyle="1" w:styleId="MarginNote">
    <w:name w:val="Margin Note"/>
    <w:basedOn w:val="BodyText"/>
    <w:rsid w:val="007B7C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C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C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7C95"/>
    <w:rPr>
      <w:sz w:val="32"/>
    </w:rPr>
  </w:style>
  <w:style w:type="paragraph" w:customStyle="1" w:styleId="HeadingProcedure">
    <w:name w:val="Heading Procedure"/>
    <w:basedOn w:val="HeadingBase"/>
    <w:next w:val="Normal"/>
    <w:rsid w:val="007B7C95"/>
    <w:pPr>
      <w:tabs>
        <w:tab w:val="left" w:pos="0"/>
      </w:tabs>
      <w:spacing w:before="120" w:after="60"/>
    </w:pPr>
    <w:rPr>
      <w:i/>
      <w:color w:val="918585"/>
      <w:sz w:val="22"/>
    </w:rPr>
  </w:style>
  <w:style w:type="paragraph" w:customStyle="1" w:styleId="TableBodyText">
    <w:name w:val="Table Body Text"/>
    <w:basedOn w:val="BodyText"/>
    <w:rsid w:val="007B7C95"/>
    <w:pPr>
      <w:spacing w:before="60" w:after="60"/>
    </w:pPr>
  </w:style>
  <w:style w:type="paragraph" w:styleId="ListContinue">
    <w:name w:val="List Continue"/>
    <w:basedOn w:val="List"/>
    <w:rsid w:val="007B7C95"/>
    <w:pPr>
      <w:ind w:firstLine="0"/>
    </w:pPr>
  </w:style>
  <w:style w:type="paragraph" w:customStyle="1" w:styleId="ListNote">
    <w:name w:val="List Note"/>
    <w:basedOn w:val="List"/>
    <w:rsid w:val="007B7C95"/>
    <w:pPr>
      <w:pBdr>
        <w:top w:val="single" w:sz="6" w:space="2" w:color="918585"/>
        <w:bottom w:val="single" w:sz="6" w:space="2" w:color="918585"/>
      </w:pBdr>
      <w:tabs>
        <w:tab w:val="left" w:pos="1021"/>
      </w:tabs>
      <w:ind w:firstLine="0"/>
    </w:pPr>
  </w:style>
  <w:style w:type="paragraph" w:customStyle="1" w:styleId="Warning">
    <w:name w:val="Warning"/>
    <w:basedOn w:val="BodyText"/>
    <w:rsid w:val="007B7C95"/>
    <w:pPr>
      <w:shd w:val="clear" w:color="auto" w:fill="D9D9D9"/>
      <w:tabs>
        <w:tab w:val="left" w:pos="992"/>
      </w:tabs>
      <w:ind w:left="119" w:right="119"/>
    </w:pPr>
    <w:rPr>
      <w:sz w:val="20"/>
    </w:rPr>
  </w:style>
  <w:style w:type="paragraph" w:customStyle="1" w:styleId="MarginIcons">
    <w:name w:val="Margin Icons"/>
    <w:basedOn w:val="BodyText"/>
    <w:rsid w:val="007B7C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C95"/>
    <w:rPr>
      <w:rFonts w:ascii="Courier New" w:hAnsi="Courier New"/>
    </w:rPr>
  </w:style>
  <w:style w:type="paragraph" w:customStyle="1" w:styleId="NoteBullet">
    <w:name w:val="Note Bullet"/>
    <w:basedOn w:val="Note"/>
    <w:rsid w:val="007B7C95"/>
    <w:pPr>
      <w:tabs>
        <w:tab w:val="clear" w:pos="680"/>
      </w:tabs>
      <w:spacing w:before="60" w:after="60"/>
    </w:pPr>
  </w:style>
  <w:style w:type="paragraph" w:customStyle="1" w:styleId="SubHeading2">
    <w:name w:val="SubHeading2"/>
    <w:basedOn w:val="HeadingBase"/>
    <w:rsid w:val="007B7C95"/>
    <w:pPr>
      <w:spacing w:before="240" w:after="60"/>
    </w:pPr>
    <w:rPr>
      <w:sz w:val="20"/>
    </w:rPr>
  </w:style>
  <w:style w:type="paragraph" w:customStyle="1" w:styleId="SubHeading1">
    <w:name w:val="SubHeading1"/>
    <w:basedOn w:val="HeadingBase"/>
    <w:rsid w:val="007B7C95"/>
    <w:pPr>
      <w:spacing w:before="240" w:after="60"/>
    </w:pPr>
    <w:rPr>
      <w:color w:val="918585"/>
      <w:sz w:val="22"/>
    </w:rPr>
  </w:style>
  <w:style w:type="paragraph" w:customStyle="1" w:styleId="SideHeading">
    <w:name w:val="Side Heading"/>
    <w:basedOn w:val="HeadingBase"/>
    <w:rsid w:val="007B7C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C95"/>
    <w:pPr>
      <w:numPr>
        <w:numId w:val="10"/>
      </w:numPr>
    </w:pPr>
  </w:style>
  <w:style w:type="paragraph" w:styleId="PlainText">
    <w:name w:val="Plain Text"/>
    <w:basedOn w:val="Normal"/>
    <w:link w:val="PlainTextChar"/>
    <w:rsid w:val="007B7C95"/>
    <w:rPr>
      <w:sz w:val="20"/>
    </w:rPr>
  </w:style>
  <w:style w:type="character" w:customStyle="1" w:styleId="PlainTextChar">
    <w:name w:val="Plain Text Char"/>
    <w:basedOn w:val="DefaultParagraphFont"/>
    <w:link w:val="PlainText"/>
    <w:rsid w:val="007B7C95"/>
    <w:rPr>
      <w:rFonts w:ascii="Courier New" w:eastAsia="Times New Roman" w:hAnsi="Courier New" w:cs="Times New Roman"/>
      <w:sz w:val="20"/>
      <w:szCs w:val="20"/>
      <w:lang w:eastAsia="en-US"/>
    </w:rPr>
  </w:style>
  <w:style w:type="character" w:customStyle="1" w:styleId="MenuOption">
    <w:name w:val="Menu Option"/>
    <w:basedOn w:val="DefaultParagraphFont"/>
    <w:rsid w:val="007B7C95"/>
    <w:rPr>
      <w:b/>
      <w:smallCaps/>
    </w:rPr>
  </w:style>
  <w:style w:type="paragraph" w:customStyle="1" w:styleId="TableListNumber">
    <w:name w:val="Table List Number"/>
    <w:basedOn w:val="ListNumber"/>
    <w:rsid w:val="007B7C95"/>
    <w:pPr>
      <w:numPr>
        <w:numId w:val="0"/>
      </w:numPr>
    </w:pPr>
  </w:style>
  <w:style w:type="paragraph" w:styleId="TOC4">
    <w:name w:val="toc 4"/>
    <w:basedOn w:val="TOCBase"/>
    <w:next w:val="Normal"/>
    <w:semiHidden/>
    <w:rsid w:val="007B7C95"/>
    <w:pPr>
      <w:tabs>
        <w:tab w:val="right" w:leader="dot" w:pos="9071"/>
      </w:tabs>
      <w:ind w:left="1701"/>
    </w:pPr>
  </w:style>
  <w:style w:type="paragraph" w:customStyle="1" w:styleId="ListAlpha">
    <w:name w:val="List Alpha"/>
    <w:basedOn w:val="List"/>
    <w:rsid w:val="007B7C95"/>
    <w:pPr>
      <w:numPr>
        <w:numId w:val="8"/>
      </w:numPr>
    </w:pPr>
  </w:style>
  <w:style w:type="paragraph" w:customStyle="1" w:styleId="ListAlpha2">
    <w:name w:val="List Alpha 2"/>
    <w:basedOn w:val="List2"/>
    <w:rsid w:val="007B7C95"/>
    <w:pPr>
      <w:numPr>
        <w:numId w:val="7"/>
      </w:numPr>
    </w:pPr>
  </w:style>
  <w:style w:type="paragraph" w:styleId="List2">
    <w:name w:val="List 2"/>
    <w:basedOn w:val="BodyText"/>
    <w:rsid w:val="007B7C95"/>
    <w:pPr>
      <w:tabs>
        <w:tab w:val="left" w:pos="680"/>
      </w:tabs>
      <w:spacing w:before="60" w:after="60"/>
      <w:ind w:left="680" w:hanging="340"/>
    </w:pPr>
  </w:style>
  <w:style w:type="paragraph" w:styleId="List3">
    <w:name w:val="List 3"/>
    <w:basedOn w:val="BodyText"/>
    <w:rsid w:val="007B7C95"/>
    <w:pPr>
      <w:tabs>
        <w:tab w:val="left" w:pos="1021"/>
      </w:tabs>
      <w:spacing w:before="60" w:after="60"/>
      <w:ind w:left="1020" w:hanging="340"/>
    </w:pPr>
  </w:style>
  <w:style w:type="paragraph" w:styleId="List4">
    <w:name w:val="List 4"/>
    <w:basedOn w:val="BodyText"/>
    <w:rsid w:val="007B7C95"/>
    <w:pPr>
      <w:tabs>
        <w:tab w:val="left" w:pos="1361"/>
      </w:tabs>
      <w:spacing w:before="60" w:after="60"/>
      <w:ind w:left="1361" w:hanging="340"/>
    </w:pPr>
  </w:style>
  <w:style w:type="paragraph" w:styleId="List5">
    <w:name w:val="List 5"/>
    <w:basedOn w:val="BodyText"/>
    <w:rsid w:val="007B7C95"/>
    <w:pPr>
      <w:tabs>
        <w:tab w:val="left" w:pos="1701"/>
      </w:tabs>
      <w:spacing w:before="60" w:after="60"/>
      <w:ind w:left="1701" w:hanging="340"/>
    </w:pPr>
  </w:style>
  <w:style w:type="paragraph" w:styleId="ListBullet3">
    <w:name w:val="List Bullet 3"/>
    <w:basedOn w:val="List3"/>
    <w:rsid w:val="007B7C95"/>
    <w:pPr>
      <w:numPr>
        <w:numId w:val="13"/>
      </w:numPr>
      <w:tabs>
        <w:tab w:val="clear" w:pos="1021"/>
      </w:tabs>
      <w:ind w:left="1037" w:hanging="357"/>
    </w:pPr>
  </w:style>
  <w:style w:type="paragraph" w:styleId="ListBullet4">
    <w:name w:val="List Bullet 4"/>
    <w:basedOn w:val="List4"/>
    <w:rsid w:val="007B7C95"/>
    <w:pPr>
      <w:numPr>
        <w:numId w:val="2"/>
      </w:numPr>
      <w:tabs>
        <w:tab w:val="clear" w:pos="1361"/>
      </w:tabs>
    </w:pPr>
  </w:style>
  <w:style w:type="paragraph" w:styleId="ListBullet5">
    <w:name w:val="List Bullet 5"/>
    <w:basedOn w:val="List5"/>
    <w:rsid w:val="007B7C95"/>
    <w:pPr>
      <w:numPr>
        <w:numId w:val="3"/>
      </w:numPr>
    </w:pPr>
  </w:style>
  <w:style w:type="paragraph" w:styleId="ListContinue2">
    <w:name w:val="List Continue 2"/>
    <w:basedOn w:val="List2"/>
    <w:rsid w:val="007B7C95"/>
    <w:pPr>
      <w:ind w:firstLine="0"/>
    </w:pPr>
  </w:style>
  <w:style w:type="paragraph" w:styleId="ListContinue3">
    <w:name w:val="List Continue 3"/>
    <w:basedOn w:val="List3"/>
    <w:rsid w:val="007B7C95"/>
    <w:pPr>
      <w:ind w:left="1021" w:firstLine="0"/>
    </w:pPr>
  </w:style>
  <w:style w:type="paragraph" w:styleId="ListContinue4">
    <w:name w:val="List Continue 4"/>
    <w:basedOn w:val="List4"/>
    <w:rsid w:val="007B7C95"/>
    <w:pPr>
      <w:ind w:firstLine="0"/>
    </w:pPr>
  </w:style>
  <w:style w:type="paragraph" w:styleId="ListContinue5">
    <w:name w:val="List Continue 5"/>
    <w:basedOn w:val="List5"/>
    <w:rsid w:val="007B7C95"/>
    <w:pPr>
      <w:ind w:firstLine="0"/>
    </w:pPr>
  </w:style>
  <w:style w:type="paragraph" w:styleId="ListNumber3">
    <w:name w:val="List Number 3"/>
    <w:basedOn w:val="List3"/>
    <w:rsid w:val="007B7C95"/>
    <w:pPr>
      <w:numPr>
        <w:numId w:val="4"/>
      </w:numPr>
    </w:pPr>
  </w:style>
  <w:style w:type="paragraph" w:styleId="ListNumber4">
    <w:name w:val="List Number 4"/>
    <w:basedOn w:val="List4"/>
    <w:rsid w:val="007B7C95"/>
    <w:pPr>
      <w:numPr>
        <w:numId w:val="5"/>
      </w:numPr>
    </w:pPr>
  </w:style>
  <w:style w:type="paragraph" w:styleId="ListNumber5">
    <w:name w:val="List Number 5"/>
    <w:basedOn w:val="List5"/>
    <w:rsid w:val="007B7C95"/>
    <w:pPr>
      <w:numPr>
        <w:numId w:val="6"/>
      </w:numPr>
    </w:pPr>
  </w:style>
  <w:style w:type="paragraph" w:styleId="BlockText">
    <w:name w:val="Block Text"/>
    <w:basedOn w:val="Normal"/>
    <w:rsid w:val="007B7C95"/>
    <w:pPr>
      <w:spacing w:after="120"/>
      <w:ind w:left="1440" w:right="1440"/>
    </w:pPr>
  </w:style>
  <w:style w:type="character" w:customStyle="1" w:styleId="Subscript">
    <w:name w:val="Subscript"/>
    <w:basedOn w:val="DefaultParagraphFont"/>
    <w:rsid w:val="007B7C95"/>
    <w:rPr>
      <w:sz w:val="16"/>
      <w:vertAlign w:val="subscript"/>
    </w:rPr>
  </w:style>
  <w:style w:type="character" w:customStyle="1" w:styleId="Superscript">
    <w:name w:val="Superscript"/>
    <w:basedOn w:val="DefaultParagraphFont"/>
    <w:rsid w:val="007B7C95"/>
    <w:rPr>
      <w:sz w:val="16"/>
      <w:vertAlign w:val="superscript"/>
    </w:rPr>
  </w:style>
  <w:style w:type="character" w:customStyle="1" w:styleId="Symbols">
    <w:name w:val="Symbols"/>
    <w:basedOn w:val="DefaultParagraphFont"/>
    <w:rsid w:val="007B7C95"/>
    <w:rPr>
      <w:rFonts w:ascii="Symbol" w:hAnsi="Symbol"/>
    </w:rPr>
  </w:style>
  <w:style w:type="character" w:customStyle="1" w:styleId="MenuOptions">
    <w:name w:val="Menu Options"/>
    <w:basedOn w:val="DefaultParagraphFont"/>
    <w:rsid w:val="007B7C95"/>
    <w:rPr>
      <w:rFonts w:ascii="Arial Narrow" w:hAnsi="Arial Narrow"/>
      <w:smallCaps/>
    </w:rPr>
  </w:style>
  <w:style w:type="character" w:customStyle="1" w:styleId="Buttons">
    <w:name w:val="Buttons"/>
    <w:basedOn w:val="DefaultParagraphFont"/>
    <w:rsid w:val="007B7C95"/>
    <w:rPr>
      <w:b/>
    </w:rPr>
  </w:style>
  <w:style w:type="character" w:customStyle="1" w:styleId="Underlined">
    <w:name w:val="Underlined"/>
    <w:basedOn w:val="DefaultParagraphFont"/>
    <w:rsid w:val="007B7C95"/>
    <w:rPr>
      <w:u w:val="single"/>
    </w:rPr>
  </w:style>
  <w:style w:type="paragraph" w:customStyle="1" w:styleId="TableBodyTextRight">
    <w:name w:val="Table Body Text Right"/>
    <w:basedOn w:val="TableBodyText"/>
    <w:rsid w:val="007B7C95"/>
    <w:pPr>
      <w:widowControl w:val="0"/>
      <w:autoSpaceDE w:val="0"/>
      <w:autoSpaceDN w:val="0"/>
      <w:adjustRightInd w:val="0"/>
      <w:jc w:val="right"/>
    </w:pPr>
    <w:rPr>
      <w:rFonts w:cs="Arial"/>
      <w:szCs w:val="18"/>
    </w:rPr>
  </w:style>
  <w:style w:type="paragraph" w:customStyle="1" w:styleId="CopyrightText">
    <w:name w:val="Copyright Text"/>
    <w:basedOn w:val="BodyText"/>
    <w:rsid w:val="007B7C95"/>
    <w:rPr>
      <w:sz w:val="18"/>
    </w:rPr>
  </w:style>
  <w:style w:type="paragraph" w:customStyle="1" w:styleId="BodySmallRight">
    <w:name w:val="Body Small Right"/>
    <w:basedOn w:val="BodyTextRight"/>
    <w:rsid w:val="007B7C95"/>
    <w:rPr>
      <w:sz w:val="18"/>
      <w:szCs w:val="18"/>
    </w:rPr>
  </w:style>
  <w:style w:type="paragraph" w:customStyle="1" w:styleId="MarginEdition">
    <w:name w:val="Margin Edition"/>
    <w:basedOn w:val="MarginNote"/>
    <w:rsid w:val="007B7C95"/>
    <w:pPr>
      <w:spacing w:before="0" w:after="0"/>
    </w:pPr>
    <w:rPr>
      <w:rFonts w:ascii="Times New Roman" w:hAnsi="Times New Roman"/>
      <w:color w:val="999999"/>
    </w:rPr>
  </w:style>
  <w:style w:type="paragraph" w:customStyle="1" w:styleId="Spacer">
    <w:name w:val="Spacer"/>
    <w:basedOn w:val="Normal"/>
    <w:rsid w:val="007B7C95"/>
    <w:rPr>
      <w:sz w:val="2"/>
      <w:szCs w:val="2"/>
    </w:rPr>
  </w:style>
  <w:style w:type="character" w:customStyle="1" w:styleId="Small">
    <w:name w:val="Small"/>
    <w:basedOn w:val="DefaultParagraphFont"/>
    <w:rsid w:val="007B7C95"/>
    <w:rPr>
      <w:sz w:val="16"/>
    </w:rPr>
  </w:style>
  <w:style w:type="paragraph" w:customStyle="1" w:styleId="WideTable">
    <w:name w:val="Wide Table"/>
    <w:basedOn w:val="Normal"/>
    <w:rsid w:val="007B7C95"/>
    <w:pPr>
      <w:ind w:left="-1418"/>
    </w:pPr>
    <w:rPr>
      <w:sz w:val="2"/>
      <w:szCs w:val="2"/>
    </w:rPr>
  </w:style>
  <w:style w:type="character" w:styleId="PageNumber">
    <w:name w:val="page number"/>
    <w:basedOn w:val="DefaultParagraphFont"/>
    <w:rsid w:val="007B7C95"/>
  </w:style>
  <w:style w:type="paragraph" w:styleId="Quote">
    <w:name w:val="Quote"/>
    <w:basedOn w:val="Heading1"/>
    <w:link w:val="QuoteChar"/>
    <w:qFormat/>
    <w:rsid w:val="007B7C95"/>
    <w:rPr>
      <w:b w:val="0"/>
      <w:sz w:val="72"/>
      <w:szCs w:val="72"/>
      <w:lang w:val="en-NZ"/>
    </w:rPr>
  </w:style>
  <w:style w:type="character" w:customStyle="1" w:styleId="QuoteChar">
    <w:name w:val="Quote Char"/>
    <w:basedOn w:val="DefaultParagraphFont"/>
    <w:link w:val="Quote"/>
    <w:rsid w:val="007B7C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C95"/>
    <w:pPr>
      <w:pageBreakBefore/>
    </w:pPr>
  </w:style>
  <w:style w:type="paragraph" w:customStyle="1" w:styleId="Border">
    <w:name w:val="Border"/>
    <w:basedOn w:val="Normal"/>
    <w:qFormat/>
    <w:rsid w:val="007B7C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C95"/>
    <w:rPr>
      <w:b/>
      <w:bCs/>
      <w:i/>
      <w:iCs/>
      <w:color w:val="auto"/>
    </w:rPr>
  </w:style>
  <w:style w:type="paragraph" w:styleId="IntenseQuote">
    <w:name w:val="Intense Quote"/>
    <w:basedOn w:val="Normal"/>
    <w:next w:val="Normal"/>
    <w:link w:val="IntenseQuoteChar"/>
    <w:uiPriority w:val="30"/>
    <w:qFormat/>
    <w:rsid w:val="007B7C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C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7C95"/>
    <w:rPr>
      <w:smallCaps/>
      <w:color w:val="auto"/>
      <w:u w:val="single"/>
    </w:rPr>
  </w:style>
  <w:style w:type="character" w:styleId="IntenseReference">
    <w:name w:val="Intense Reference"/>
    <w:basedOn w:val="DefaultParagraphFont"/>
    <w:uiPriority w:val="32"/>
    <w:qFormat/>
    <w:rsid w:val="007B7C95"/>
    <w:rPr>
      <w:b/>
      <w:bCs/>
      <w:smallCaps/>
      <w:color w:val="auto"/>
      <w:spacing w:val="5"/>
      <w:u w:val="single"/>
    </w:rPr>
  </w:style>
  <w:style w:type="paragraph" w:customStyle="1" w:styleId="2ColumnHeading">
    <w:name w:val="2Column Heading"/>
    <w:basedOn w:val="BodyText"/>
    <w:qFormat/>
    <w:rsid w:val="007B7C95"/>
    <w:pPr>
      <w:spacing w:after="60"/>
      <w:ind w:left="-2268"/>
    </w:pPr>
    <w:rPr>
      <w:b/>
    </w:rPr>
  </w:style>
  <w:style w:type="paragraph" w:customStyle="1" w:styleId="Heading1TOC">
    <w:name w:val="Heading1 TOC"/>
    <w:basedOn w:val="Normal"/>
    <w:qFormat/>
    <w:rsid w:val="007B7C95"/>
    <w:pPr>
      <w:spacing w:before="240" w:after="120"/>
    </w:pPr>
    <w:rPr>
      <w:rFonts w:ascii="Times New Roman" w:hAnsi="Times New Roman"/>
      <w:b/>
      <w:sz w:val="32"/>
    </w:rPr>
  </w:style>
  <w:style w:type="paragraph" w:customStyle="1" w:styleId="Heading2TOC">
    <w:name w:val="Heading2 TOC"/>
    <w:basedOn w:val="Normal"/>
    <w:qFormat/>
    <w:rsid w:val="007B7C95"/>
    <w:pPr>
      <w:spacing w:before="240" w:after="60"/>
    </w:pPr>
    <w:rPr>
      <w:rFonts w:ascii="Times New Roman" w:hAnsi="Times New Roman"/>
      <w:b/>
      <w:sz w:val="28"/>
    </w:rPr>
  </w:style>
  <w:style w:type="character" w:customStyle="1" w:styleId="Underline">
    <w:name w:val="Underline"/>
    <w:basedOn w:val="DefaultParagraphFont"/>
    <w:qFormat/>
    <w:rsid w:val="007B7C95"/>
    <w:rPr>
      <w:u w:val="single"/>
    </w:rPr>
  </w:style>
  <w:style w:type="character" w:customStyle="1" w:styleId="BoldandItalics">
    <w:name w:val="Bold and Italics"/>
    <w:qFormat/>
    <w:rsid w:val="007B7C95"/>
    <w:rPr>
      <w:b/>
      <w:i/>
      <w:u w:val="none"/>
    </w:rPr>
  </w:style>
  <w:style w:type="paragraph" w:styleId="BalloonText">
    <w:name w:val="Balloon Text"/>
    <w:basedOn w:val="Normal"/>
    <w:link w:val="BalloonTextChar"/>
    <w:rsid w:val="007B7C95"/>
    <w:rPr>
      <w:rFonts w:ascii="Tahoma" w:hAnsi="Tahoma" w:cs="Tahoma"/>
      <w:sz w:val="16"/>
      <w:szCs w:val="16"/>
    </w:rPr>
  </w:style>
  <w:style w:type="character" w:customStyle="1" w:styleId="BalloonTextChar">
    <w:name w:val="Balloon Text Char"/>
    <w:basedOn w:val="DefaultParagraphFont"/>
    <w:link w:val="BalloonText"/>
    <w:rsid w:val="007B7C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7C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7C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7C95"/>
    <w:rPr>
      <w:b/>
      <w:color w:val="660033"/>
      <w:spacing w:val="0"/>
    </w:rPr>
  </w:style>
  <w:style w:type="paragraph" w:customStyle="1" w:styleId="Nameditemlist">
    <w:name w:val="Named item list"/>
    <w:basedOn w:val="BodyText"/>
    <w:qFormat/>
    <w:rsid w:val="007B7C95"/>
    <w:pPr>
      <w:tabs>
        <w:tab w:val="left" w:pos="2835"/>
      </w:tabs>
      <w:ind w:left="2835" w:hanging="2835"/>
    </w:pPr>
  </w:style>
  <w:style w:type="paragraph" w:customStyle="1" w:styleId="BodyTextnopadding">
    <w:name w:val="Body Text no padding"/>
    <w:basedOn w:val="BodyText"/>
    <w:qFormat/>
    <w:rsid w:val="007B7C95"/>
    <w:pPr>
      <w:spacing w:before="0" w:after="0"/>
    </w:pPr>
  </w:style>
  <w:style w:type="paragraph" w:customStyle="1" w:styleId="BodyTextBold">
    <w:name w:val="Body Text Bold"/>
    <w:basedOn w:val="BodyText"/>
    <w:qFormat/>
    <w:rsid w:val="007B7C95"/>
    <w:rPr>
      <w:b/>
    </w:rPr>
  </w:style>
  <w:style w:type="character" w:styleId="Hyperlink">
    <w:name w:val="Hyperlink"/>
    <w:basedOn w:val="DefaultParagraphFont"/>
    <w:uiPriority w:val="99"/>
    <w:unhideWhenUsed/>
    <w:rsid w:val="005472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4418</Characters>
  <Application>Microsoft Office Word</Application>
  <DocSecurity>0</DocSecurity>
  <Lines>200</Lines>
  <Paragraphs>102</Paragraphs>
  <ScaleCrop>false</ScaleCrop>
  <Company>Author-it Software Corporation Ltd.</Company>
  <LinksUpToDate>false</LinksUpToDate>
  <CharactersWithSpaces>5041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UETDRIS030 Install high voltage mobile generator</dc:title>
  <dc:subject>Approved</dc:subject>
  <dc:creator>Australian Industry Standards</dc:creator>
  <cp:keywords>Release: 1</cp:keywords>
  <dc:description>Review Date: 12 April 2008</dc:description>
  <cp:lastModifiedBy>HSD_TPCMSd.prod</cp:lastModifiedBy>
  <cp:revision>3</cp:revision>
  <dcterms:created xsi:type="dcterms:W3CDTF">2022-12-06T06:49:00Z</dcterms:created>
  <dcterms:modified xsi:type="dcterms:W3CDTF">2022-12-06T06:49:00Z</dcterms:modified>
</cp:coreProperties>
</file>