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5E2E" w:rsidP="00355E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UETDRIS026 Diagnose and resolve faults in electrical apparatus</w:t>
      </w:r>
      <w:r>
        <w:fldChar w:fldCharType="end"/>
      </w:r>
    </w:p>
    <w:p w:rsidR="00355E2E" w:rsidP="00355E2E">
      <w:pPr>
        <w:pStyle w:val="Version"/>
        <w:sectPr w:rsidSect="007469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69AE" w:rsidP="007469AE">
      <w:pPr>
        <w:pStyle w:val="SuperHeading"/>
      </w:pPr>
      <w:r w:rsidRPr="007469AE">
        <w:t>Assessment Requirements for UETDRIS026 Diagnose and resolve faults in electrical apparatus</w:t>
      </w:r>
    </w:p>
    <w:p w:rsidR="00000000" w:rsidRPr="007469AE" w:rsidP="007469AE">
      <w:pPr>
        <w:pStyle w:val="Heading1"/>
      </w:pPr>
      <w:bookmarkStart w:id="1" w:name="O_1237012"/>
      <w:bookmarkEnd w:id="1"/>
      <w:r w:rsidRPr="007469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9AE" w:rsidP="007469AE">
            <w:pPr>
              <w:pStyle w:val="BodyText"/>
            </w:pPr>
            <w:r w:rsidRPr="007469AE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7469AE" w:rsidP="007469AE">
      <w:pPr>
        <w:pStyle w:val="NoPaddingFontSize1"/>
      </w:pPr>
    </w:p>
    <w:p w:rsidR="00000000" w:rsidRPr="007469AE" w:rsidP="007469AE">
      <w:pPr>
        <w:pStyle w:val="AllowPageBreak"/>
      </w:pPr>
    </w:p>
    <w:p w:rsidR="00000000" w:rsidRPr="007469AE" w:rsidP="007469AE">
      <w:pPr>
        <w:pStyle w:val="Heading1"/>
      </w:pPr>
      <w:bookmarkStart w:id="2" w:name="O_1237013"/>
      <w:bookmarkEnd w:id="2"/>
      <w:r w:rsidRPr="007469A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9AE">
            <w:pPr>
              <w:pStyle w:val="BodyText"/>
              <w:rPr>
                <w:lang w:val="en-NZ"/>
              </w:rPr>
            </w:pPr>
            <w:r w:rsidRPr="007469AE">
              <w:t>Evidence required to demonstrate competence in this unit must be r</w:t>
            </w:r>
            <w:r w:rsidRPr="007469AE">
              <w:t xml:space="preserve">elevant to and satisfy all of the requirements of the elements and performance criteria on at least two (2) separate occasions and include:  </w:t>
            </w:r>
          </w:p>
        </w:tc>
      </w:tr>
      <w:tr w:rsidTr="00746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9AE" w:rsidP="007469AE">
            <w:pPr>
              <w:pStyle w:val="ListBullet"/>
            </w:pPr>
            <w:r w:rsidRPr="007469AE">
              <w:t>applying relevant legislation, regulations, standards, codes of practice and organisational workplace requiremen</w:t>
            </w:r>
            <w:r w:rsidRPr="007469AE">
              <w:t>ts including:</w:t>
            </w:r>
          </w:p>
          <w:p w:rsidR="00000000" w:rsidRPr="007469AE" w:rsidP="007469AE">
            <w:pPr>
              <w:pStyle w:val="ListBullet2"/>
            </w:pPr>
            <w:r w:rsidRPr="007469AE">
              <w:t>work health and safety (WHS)/occupational health and safety (OHS) requirements</w:t>
            </w:r>
          </w:p>
          <w:p w:rsidR="00000000" w:rsidRPr="007469AE" w:rsidP="007469AE">
            <w:pPr>
              <w:pStyle w:val="ListBullet"/>
            </w:pPr>
            <w:r w:rsidRPr="007469AE">
              <w:t>identifying hazards, assessing risks, and identifying, applying and monitoring control measures</w:t>
            </w:r>
          </w:p>
          <w:p w:rsidR="00000000" w:rsidRPr="007469AE" w:rsidP="007469AE">
            <w:pPr>
              <w:pStyle w:val="ListBullet"/>
            </w:pPr>
            <w:r w:rsidRPr="007469AE">
              <w:t>obtaining, inspecting and using relevant personal protective equipment (PPE)</w:t>
            </w:r>
          </w:p>
          <w:p w:rsidR="00000000" w:rsidRPr="007469AE" w:rsidP="007469AE">
            <w:pPr>
              <w:pStyle w:val="ListBullet"/>
            </w:pPr>
            <w:r w:rsidRPr="007469AE">
              <w:t>dealing with an unplanned event on at least one (1) occasion</w:t>
            </w:r>
          </w:p>
          <w:p w:rsidR="00000000" w:rsidRPr="007469AE" w:rsidP="007469AE">
            <w:pPr>
              <w:pStyle w:val="ListBullet"/>
            </w:pPr>
            <w:r w:rsidRPr="007469AE">
              <w:t>obtaining and signing work permits in accordance with workplace requirements</w:t>
            </w:r>
          </w:p>
          <w:p w:rsidR="00000000" w:rsidRPr="007469AE" w:rsidP="007469AE">
            <w:pPr>
              <w:pStyle w:val="ListBullet"/>
            </w:pPr>
            <w:r w:rsidRPr="007469AE">
              <w:t>completing relevant work records, reports</w:t>
            </w:r>
            <w:r w:rsidRPr="007469AE">
              <w:t xml:space="preserve"> and documentation</w:t>
            </w:r>
          </w:p>
          <w:p w:rsidR="00000000" w:rsidRPr="007469AE" w:rsidP="007469AE">
            <w:pPr>
              <w:pStyle w:val="ListBullet"/>
            </w:pPr>
            <w:r w:rsidRPr="007469AE">
              <w:t>diagnosing and resolving faults in electrical apparatus, including:</w:t>
            </w:r>
          </w:p>
          <w:p w:rsidR="00000000" w:rsidRPr="007469AE" w:rsidP="007469AE">
            <w:pPr>
              <w:pStyle w:val="ListBullet2"/>
            </w:pPr>
            <w:r w:rsidRPr="007469AE">
              <w:t>applying logical diagnostic methods</w:t>
            </w:r>
          </w:p>
          <w:p w:rsidR="00000000" w:rsidRPr="007469AE" w:rsidP="007469AE">
            <w:pPr>
              <w:pStyle w:val="ListBullet2"/>
            </w:pPr>
            <w:r w:rsidRPr="007469AE">
              <w:t>using fault scenarios to test the cause of system faults</w:t>
            </w:r>
          </w:p>
          <w:p w:rsidR="00000000" w:rsidRPr="007469AE" w:rsidP="007469AE">
            <w:pPr>
              <w:pStyle w:val="ListBullet2"/>
            </w:pPr>
            <w:r w:rsidRPr="007469AE">
              <w:t>identifying faults and competency needed to resolve them</w:t>
            </w:r>
          </w:p>
          <w:p w:rsidR="00000000" w:rsidRPr="007469AE" w:rsidP="007469AE">
            <w:pPr>
              <w:pStyle w:val="ListBullet2"/>
            </w:pPr>
            <w:r w:rsidRPr="007469AE">
              <w:t>resolving faults i</w:t>
            </w:r>
            <w:r w:rsidRPr="007469AE">
              <w:t>n system controls</w:t>
            </w:r>
          </w:p>
          <w:p w:rsidR="00000000" w:rsidRPr="007469AE" w:rsidP="007469AE">
            <w:pPr>
              <w:pStyle w:val="ListBullet2"/>
            </w:pPr>
            <w:r w:rsidRPr="007469AE">
              <w:t>verifying that the system operates correctly</w:t>
            </w:r>
          </w:p>
          <w:p w:rsidR="00000000" w:rsidRPr="007469AE" w:rsidP="007469AE">
            <w:pPr>
              <w:pStyle w:val="ListBullet2"/>
            </w:pPr>
            <w:r w:rsidRPr="007469AE">
              <w:t>documenting fault rectification.</w:t>
            </w:r>
          </w:p>
        </w:tc>
      </w:tr>
    </w:tbl>
    <w:p w:rsidR="00000000" w:rsidRPr="007469AE" w:rsidP="007469AE">
      <w:pPr>
        <w:pStyle w:val="NoPaddingFontSize1"/>
      </w:pPr>
    </w:p>
    <w:p w:rsidR="00000000" w:rsidRPr="007469AE" w:rsidP="007469AE">
      <w:pPr>
        <w:pStyle w:val="AllowPageBreak"/>
      </w:pPr>
    </w:p>
    <w:p w:rsidR="00000000" w:rsidRPr="007469AE" w:rsidP="007469AE">
      <w:pPr>
        <w:pStyle w:val="Heading1"/>
      </w:pPr>
      <w:bookmarkStart w:id="3" w:name="O_1237014"/>
      <w:bookmarkEnd w:id="3"/>
      <w:r w:rsidRPr="007469A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9AE">
            <w:pPr>
              <w:pStyle w:val="BodyText"/>
              <w:rPr>
                <w:lang w:val="en-NZ"/>
              </w:rPr>
            </w:pPr>
            <w:r w:rsidRPr="007469AE">
              <w:t>Evidence required to demonstrate competence in this unit must be relevant to and satisfy all of the requirements of th</w:t>
            </w:r>
            <w:r w:rsidRPr="007469AE">
              <w:t>e elements and performance criteria and include knowledge of:</w:t>
            </w:r>
          </w:p>
        </w:tc>
      </w:tr>
      <w:tr w:rsidTr="00746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9AE" w:rsidP="007469AE">
            <w:pPr>
              <w:pStyle w:val="ListBullet"/>
            </w:pPr>
            <w:r w:rsidRPr="007469AE">
              <w:t xml:space="preserve">relevant legislation, regulations, standards, codes of practice and organisational workplace requirements including WHS/OHS requirements </w:t>
            </w:r>
          </w:p>
          <w:p w:rsidR="00000000" w:rsidRPr="007469AE" w:rsidP="007469AE">
            <w:pPr>
              <w:pStyle w:val="ListBullet"/>
            </w:pPr>
            <w:r w:rsidRPr="007469AE">
              <w:t xml:space="preserve">hazard, risk assessment and risk control requirements </w:t>
            </w:r>
          </w:p>
          <w:p w:rsidR="00000000" w:rsidRPr="007469AE" w:rsidP="007469AE">
            <w:pPr>
              <w:pStyle w:val="ListBullet"/>
            </w:pPr>
            <w:r w:rsidRPr="007469AE">
              <w:t>types and application of PPE</w:t>
            </w:r>
          </w:p>
          <w:p w:rsidR="00000000" w:rsidRPr="007469AE" w:rsidP="007469AE">
            <w:pPr>
              <w:pStyle w:val="ListBullet"/>
            </w:pPr>
            <w:r w:rsidRPr="007469AE">
              <w:t xml:space="preserve">safe use of plant, tools and equipment </w:t>
            </w:r>
          </w:p>
          <w:p w:rsidR="00000000" w:rsidRPr="007469AE" w:rsidP="007469AE">
            <w:pPr>
              <w:pStyle w:val="ListBullet"/>
            </w:pPr>
            <w:r w:rsidRPr="007469AE">
              <w:t>application, purpose and types of permits</w:t>
            </w:r>
          </w:p>
          <w:p w:rsidR="00000000" w:rsidRPr="007469AE" w:rsidP="007469AE">
            <w:pPr>
              <w:pStyle w:val="ListBullet"/>
            </w:pPr>
            <w:r w:rsidRPr="007469AE">
              <w:t>events constituting an unplanned event or incident</w:t>
            </w:r>
          </w:p>
          <w:p w:rsidR="00000000" w:rsidRPr="007469AE" w:rsidP="007469AE">
            <w:pPr>
              <w:pStyle w:val="ListBullet"/>
            </w:pPr>
            <w:r w:rsidRPr="007469AE">
              <w:t>procedures for responding to an unplanned event or incident</w:t>
            </w:r>
          </w:p>
          <w:p w:rsidR="00000000" w:rsidRPr="007469AE" w:rsidP="007469AE">
            <w:pPr>
              <w:pStyle w:val="ListBullet"/>
            </w:pPr>
            <w:r w:rsidRPr="007469AE">
              <w:t>workplace records, reports and do</w:t>
            </w:r>
            <w:r w:rsidRPr="007469AE">
              <w:t>cumentation</w:t>
            </w:r>
          </w:p>
          <w:p w:rsidR="00000000" w:rsidRPr="007469AE" w:rsidP="007469AE">
            <w:pPr>
              <w:pStyle w:val="ListBullet"/>
            </w:pPr>
            <w:r w:rsidRPr="007469AE">
              <w:t xml:space="preserve">control of high voltage (HV) and low voltage (LV), including: </w:t>
            </w:r>
          </w:p>
          <w:p w:rsidR="00000000" w:rsidRPr="007469AE" w:rsidP="007469AE">
            <w:pPr>
              <w:pStyle w:val="ListBullet2"/>
            </w:pPr>
            <w:r w:rsidRPr="007469AE">
              <w:t>voltage control devices</w:t>
            </w:r>
          </w:p>
          <w:p w:rsidR="00000000" w:rsidRPr="007469AE" w:rsidP="007469AE">
            <w:pPr>
              <w:pStyle w:val="ListBullet2"/>
            </w:pPr>
            <w:r w:rsidRPr="007469AE">
              <w:t>conditions leading to voltage collapse and system disintegration</w:t>
            </w:r>
          </w:p>
          <w:p w:rsidR="00000000" w:rsidRPr="007469AE" w:rsidP="007469AE">
            <w:pPr>
              <w:pStyle w:val="ListBullet2"/>
            </w:pPr>
            <w:r w:rsidRPr="007469AE">
              <w:t>voltage regulators applied to generators and synchronous phase modifiers</w:t>
            </w:r>
          </w:p>
          <w:p w:rsidR="00000000" w:rsidRPr="007469AE" w:rsidP="007469AE">
            <w:pPr>
              <w:pStyle w:val="ListBullet2"/>
            </w:pPr>
            <w:r w:rsidRPr="007469AE">
              <w:t>electromagnetic voltage regulators</w:t>
            </w:r>
          </w:p>
          <w:p w:rsidR="00000000" w:rsidRPr="007469AE" w:rsidP="007469AE">
            <w:pPr>
              <w:pStyle w:val="ListBullet2"/>
            </w:pPr>
            <w:r w:rsidRPr="007469AE">
              <w:t>series and parallel capacitors</w:t>
            </w:r>
          </w:p>
          <w:p w:rsidR="00000000" w:rsidRPr="007469AE" w:rsidP="007469AE">
            <w:pPr>
              <w:pStyle w:val="ListBullet2"/>
            </w:pPr>
            <w:r w:rsidRPr="007469AE">
              <w:t xml:space="preserve">on-load tap changer (OLTC) transformers </w:t>
            </w:r>
          </w:p>
          <w:p w:rsidR="00000000" w:rsidRPr="007469AE" w:rsidP="007469AE">
            <w:pPr>
              <w:pStyle w:val="ListBullet2"/>
            </w:pPr>
            <w:r w:rsidRPr="007469AE">
              <w:t>static var compensations (SVCs)</w:t>
            </w:r>
          </w:p>
          <w:p w:rsidR="00000000" w:rsidRPr="007469AE" w:rsidP="007469AE">
            <w:pPr>
              <w:pStyle w:val="ListBullet"/>
            </w:pPr>
            <w:r w:rsidRPr="007469AE">
              <w:t>range of devices covered by SVCs, including:</w:t>
            </w:r>
          </w:p>
          <w:p w:rsidR="00000000" w:rsidRPr="007469AE" w:rsidP="007469AE">
            <w:pPr>
              <w:pStyle w:val="ListBullet2"/>
            </w:pPr>
            <w:r w:rsidRPr="007469AE">
              <w:t>saturated reactor (SR) compensators</w:t>
            </w:r>
          </w:p>
          <w:p w:rsidR="00000000" w:rsidRPr="007469AE" w:rsidP="007469AE">
            <w:pPr>
              <w:pStyle w:val="ListBullet2"/>
            </w:pPr>
            <w:r w:rsidRPr="007469AE">
              <w:t>thyristor controlled reactor (TCR)</w:t>
            </w:r>
            <w:r w:rsidRPr="007469AE">
              <w:t xml:space="preserve"> compensators</w:t>
            </w:r>
          </w:p>
          <w:p w:rsidR="00000000" w:rsidRPr="007469AE" w:rsidP="007469AE">
            <w:pPr>
              <w:pStyle w:val="ListBullet2"/>
            </w:pPr>
            <w:r w:rsidRPr="007469AE">
              <w:t>combined TCR/thyristor-switched capacitor (TSC)</w:t>
            </w:r>
          </w:p>
          <w:p w:rsidR="00000000" w:rsidRPr="007469AE" w:rsidP="007469AE">
            <w:pPr>
              <w:pStyle w:val="ListBullet2"/>
            </w:pPr>
            <w:r w:rsidRPr="007469AE">
              <w:t>production of wave-form distorting harmonics and control devices</w:t>
            </w:r>
          </w:p>
          <w:p w:rsidR="00000000" w:rsidRPr="007469AE" w:rsidP="007469AE">
            <w:pPr>
              <w:pStyle w:val="ListBullet"/>
            </w:pPr>
            <w:r w:rsidRPr="007469AE">
              <w:t>importance of the location in the system of voltage control devices</w:t>
            </w:r>
          </w:p>
          <w:p w:rsidR="00000000" w:rsidRPr="007469AE" w:rsidP="007469AE">
            <w:pPr>
              <w:pStyle w:val="ListBullet"/>
            </w:pPr>
            <w:r w:rsidRPr="007469AE">
              <w:t>the use of graphical methods to calculate the size of var re</w:t>
            </w:r>
            <w:r w:rsidRPr="007469AE">
              <w:t>gulating plant</w:t>
            </w:r>
          </w:p>
          <w:p w:rsidR="00000000" w:rsidRPr="007469AE" w:rsidP="007469AE">
            <w:pPr>
              <w:pStyle w:val="ListBullet"/>
            </w:pPr>
            <w:r w:rsidRPr="007469AE">
              <w:t>control of power, including:</w:t>
            </w:r>
          </w:p>
          <w:p w:rsidR="00000000" w:rsidRPr="007469AE" w:rsidP="007469AE">
            <w:pPr>
              <w:pStyle w:val="ListBullet2"/>
            </w:pPr>
            <w:r w:rsidRPr="007469AE">
              <w:t>base load and spinning reserve</w:t>
            </w:r>
          </w:p>
          <w:p w:rsidR="00000000" w:rsidRPr="007469AE" w:rsidP="007469AE">
            <w:pPr>
              <w:pStyle w:val="ListBullet2"/>
            </w:pPr>
            <w:r w:rsidRPr="007469AE">
              <w:t>regulating machines</w:t>
            </w:r>
          </w:p>
          <w:p w:rsidR="00000000" w:rsidRPr="007469AE" w:rsidP="007469AE">
            <w:pPr>
              <w:pStyle w:val="ListBullet2"/>
            </w:pPr>
            <w:r w:rsidRPr="007469AE">
              <w:t>rapid start plant</w:t>
            </w:r>
          </w:p>
          <w:p w:rsidR="00000000" w:rsidRPr="007469AE" w:rsidP="007469AE">
            <w:pPr>
              <w:pStyle w:val="ListBullet2"/>
            </w:pPr>
            <w:r w:rsidRPr="007469AE">
              <w:t>phase shifting transformers and load shedding</w:t>
            </w:r>
          </w:p>
          <w:p w:rsidR="00000000" w:rsidRPr="007469AE" w:rsidP="007469AE">
            <w:pPr>
              <w:pStyle w:val="ListBullet2"/>
            </w:pPr>
            <w:r w:rsidRPr="007469AE">
              <w:t>principles and practices of automated control of individual machines</w:t>
            </w:r>
          </w:p>
          <w:p w:rsidR="00000000" w:rsidRPr="007469AE" w:rsidP="007469AE">
            <w:pPr>
              <w:pStyle w:val="ListBullet2"/>
            </w:pPr>
            <w:r w:rsidRPr="007469AE">
              <w:t>stations and transmission/tie-line elements</w:t>
            </w:r>
          </w:p>
          <w:p w:rsidR="00000000" w:rsidRPr="007469AE" w:rsidP="007469AE">
            <w:pPr>
              <w:pStyle w:val="ListBullet2"/>
            </w:pPr>
            <w:r w:rsidRPr="007469AE">
              <w:t>synchronising power</w:t>
            </w:r>
          </w:p>
          <w:p w:rsidR="00000000" w:rsidRPr="007469AE" w:rsidP="007469AE">
            <w:pPr>
              <w:pStyle w:val="ListBullet"/>
            </w:pPr>
            <w:r w:rsidRPr="007469AE">
              <w:t>the relationship between power and frequency, including:</w:t>
            </w:r>
          </w:p>
          <w:p w:rsidR="00000000" w:rsidRPr="007469AE" w:rsidP="007469AE">
            <w:pPr>
              <w:pStyle w:val="ListBullet2"/>
            </w:pPr>
            <w:r w:rsidRPr="007469AE">
              <w:t>limiting values</w:t>
            </w:r>
          </w:p>
          <w:p w:rsidR="00000000" w:rsidRPr="007469AE" w:rsidP="007469AE">
            <w:pPr>
              <w:pStyle w:val="ListBullet2"/>
            </w:pPr>
            <w:r w:rsidRPr="007469AE">
              <w:t>machine stabilising</w:t>
            </w:r>
          </w:p>
          <w:p w:rsidR="00000000" w:rsidRPr="007469AE" w:rsidP="007469AE">
            <w:pPr>
              <w:pStyle w:val="ListBullet2"/>
            </w:pPr>
            <w:r w:rsidRPr="007469AE">
              <w:t>steam by-pass, rapid valving, slip stabilisers and over-speed limiting</w:t>
            </w:r>
          </w:p>
          <w:p w:rsidR="00000000" w:rsidRPr="007469AE" w:rsidP="007469AE">
            <w:pPr>
              <w:pStyle w:val="ListBullet2"/>
            </w:pPr>
            <w:r w:rsidRPr="007469AE">
              <w:t>use of single pole generat</w:t>
            </w:r>
            <w:r w:rsidRPr="007469AE">
              <w:t>or circuit breakers (CB)</w:t>
            </w:r>
          </w:p>
          <w:p w:rsidR="00000000" w:rsidRPr="007469AE" w:rsidP="007469AE">
            <w:pPr>
              <w:pStyle w:val="ListBullet2"/>
            </w:pPr>
            <w:r w:rsidRPr="007469AE">
              <w:t>use of automatic voltage regulators (AVR) as angular stabilisers</w:t>
            </w:r>
          </w:p>
          <w:p w:rsidR="00000000" w:rsidRPr="007469AE" w:rsidP="007469AE">
            <w:pPr>
              <w:pStyle w:val="ListBullet2"/>
            </w:pPr>
            <w:r w:rsidRPr="007469AE">
              <w:t>damped and un-damped system oscillations</w:t>
            </w:r>
          </w:p>
          <w:p w:rsidR="00000000" w:rsidRPr="007469AE" w:rsidP="007469AE">
            <w:pPr>
              <w:pStyle w:val="ListBullet2"/>
            </w:pPr>
            <w:r w:rsidRPr="007469AE">
              <w:t>relationship between fault clearance times and system stability</w:t>
            </w:r>
          </w:p>
          <w:p w:rsidR="00000000" w:rsidRPr="007469AE" w:rsidP="007469AE">
            <w:pPr>
              <w:pStyle w:val="ListBullet2"/>
            </w:pPr>
            <w:r w:rsidRPr="007469AE">
              <w:t>calculation of critical clearance angles based on equal area criteria</w:t>
            </w:r>
          </w:p>
          <w:p w:rsidR="00000000" w:rsidRPr="007469AE" w:rsidP="007469AE">
            <w:pPr>
              <w:pStyle w:val="ListBullet"/>
            </w:pPr>
            <w:r w:rsidRPr="007469AE">
              <w:t>types of communication systems, including:</w:t>
            </w:r>
          </w:p>
          <w:p w:rsidR="00000000" w:rsidRPr="007469AE" w:rsidP="007469AE">
            <w:pPr>
              <w:pStyle w:val="ListBullet2"/>
            </w:pPr>
            <w:r w:rsidRPr="007469AE">
              <w:t>telephone, power line carrier, dedicated cable, microwave links and fibre optics</w:t>
            </w:r>
          </w:p>
          <w:p w:rsidR="00000000" w:rsidRPr="007469AE" w:rsidP="007469AE">
            <w:pPr>
              <w:pStyle w:val="ListBullet2"/>
            </w:pPr>
            <w:r w:rsidRPr="007469AE">
              <w:t>quantities and signals to be communicated</w:t>
            </w:r>
          </w:p>
          <w:p w:rsidR="00000000" w:rsidRPr="007469AE" w:rsidP="007469AE">
            <w:pPr>
              <w:pStyle w:val="ListBullet2"/>
            </w:pPr>
            <w:r w:rsidRPr="007469AE">
              <w:t>advantages and dis</w:t>
            </w:r>
            <w:r w:rsidRPr="007469AE">
              <w:t>advantages of the various systems</w:t>
            </w:r>
          </w:p>
          <w:p w:rsidR="00000000" w:rsidRPr="007469AE" w:rsidP="007469AE">
            <w:pPr>
              <w:pStyle w:val="ListBullet2"/>
            </w:pPr>
            <w:r w:rsidRPr="007469AE">
              <w:t>equipment requirements</w:t>
            </w:r>
          </w:p>
          <w:p w:rsidR="00000000" w:rsidRPr="007469AE" w:rsidP="007469AE">
            <w:pPr>
              <w:pStyle w:val="ListBullet"/>
            </w:pPr>
            <w:r w:rsidRPr="007469AE">
              <w:t>transient over-voltages in power systems, including:</w:t>
            </w:r>
          </w:p>
          <w:p w:rsidR="00000000" w:rsidRPr="007469AE" w:rsidP="007469AE">
            <w:pPr>
              <w:pStyle w:val="ListBullet2"/>
            </w:pPr>
            <w:r w:rsidRPr="007469AE">
              <w:t>switching and lightning over-voltages and their effect on different plant items</w:t>
            </w:r>
          </w:p>
          <w:p w:rsidR="00000000" w:rsidRPr="007469AE" w:rsidP="007469AE">
            <w:pPr>
              <w:pStyle w:val="ListBullet2"/>
            </w:pPr>
            <w:r w:rsidRPr="007469AE">
              <w:t>transient over-voltage control and reduction using surge diverte</w:t>
            </w:r>
            <w:r w:rsidRPr="007469AE">
              <w:t>rs, shield wires and CB control</w:t>
            </w:r>
          </w:p>
          <w:p w:rsidR="00000000" w:rsidRPr="007469AE" w:rsidP="007469AE">
            <w:pPr>
              <w:pStyle w:val="ListBullet2"/>
            </w:pPr>
            <w:r w:rsidRPr="007469AE">
              <w:t>insulation systems, insulation coordination, insulation grading in plant items, bushings and capacitor bushings</w:t>
            </w:r>
          </w:p>
          <w:p w:rsidR="00000000" w:rsidRPr="007469AE" w:rsidP="007469AE">
            <w:pPr>
              <w:pStyle w:val="ListBullet"/>
            </w:pPr>
            <w:r w:rsidRPr="007469AE">
              <w:t>factors leading to the generation of corona, including consequences, reduction, conductor bundling, grading rin</w:t>
            </w:r>
            <w:r w:rsidRPr="007469AE">
              <w:t>gs and conductor surface treatment</w:t>
            </w:r>
          </w:p>
          <w:p w:rsidR="00000000" w:rsidRPr="007469AE" w:rsidP="007469AE">
            <w:pPr>
              <w:pStyle w:val="ListBullet"/>
            </w:pPr>
            <w:r w:rsidRPr="007469AE">
              <w:t>power system protection, including:</w:t>
            </w:r>
          </w:p>
          <w:p w:rsidR="00000000" w:rsidRPr="007469AE" w:rsidP="007469AE">
            <w:pPr>
              <w:pStyle w:val="ListBullet2"/>
            </w:pPr>
            <w:r w:rsidRPr="007469AE">
              <w:t>location of current transformer (CT) in major plant items</w:t>
            </w:r>
          </w:p>
          <w:p w:rsidR="00000000" w:rsidRPr="007469AE" w:rsidP="007469AE">
            <w:pPr>
              <w:pStyle w:val="ListBullet2"/>
            </w:pPr>
            <w:r w:rsidRPr="007469AE">
              <w:t>earthing principles and devices</w:t>
            </w:r>
          </w:p>
          <w:p w:rsidR="00000000" w:rsidRPr="007469AE" w:rsidP="007469AE">
            <w:pPr>
              <w:pStyle w:val="ListBullet2"/>
            </w:pPr>
            <w:r w:rsidRPr="007469AE">
              <w:t>fault current control/limitation using neutral earthing compensators (NEC), neutral point earth impedances, high conductivity shield wires and parallel feed interlocking</w:t>
            </w:r>
          </w:p>
          <w:p w:rsidR="00000000" w:rsidRPr="007469AE" w:rsidP="007469AE">
            <w:pPr>
              <w:pStyle w:val="ListBullet2"/>
            </w:pPr>
            <w:r w:rsidRPr="007469AE">
              <w:t>application of different types of protection.</w:t>
            </w:r>
          </w:p>
        </w:tc>
      </w:tr>
    </w:tbl>
    <w:p w:rsidR="00000000" w:rsidRPr="007469AE" w:rsidP="007469AE">
      <w:pPr>
        <w:pStyle w:val="NoPaddingFontSize1"/>
      </w:pPr>
    </w:p>
    <w:p w:rsidR="00000000" w:rsidRPr="007469AE" w:rsidP="007469AE">
      <w:pPr>
        <w:pStyle w:val="AllowPageBreak"/>
      </w:pPr>
    </w:p>
    <w:p w:rsidR="00000000" w:rsidRPr="007469AE" w:rsidP="007469AE">
      <w:pPr>
        <w:pStyle w:val="Heading1"/>
      </w:pPr>
      <w:bookmarkStart w:id="4" w:name="O_1237015"/>
      <w:bookmarkEnd w:id="4"/>
      <w:r w:rsidRPr="007469AE">
        <w:t>Assessment Conditio</w:t>
      </w:r>
      <w:r w:rsidRPr="007469AE">
        <w:t>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9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9AE" w:rsidP="007469AE">
            <w:pPr>
              <w:pStyle w:val="BodyText"/>
            </w:pPr>
            <w:r w:rsidRPr="007469AE">
              <w:t>Assessors must hold credentials specified within the Standards for Registered Training Organisations current at the time of assessment.</w:t>
            </w:r>
          </w:p>
          <w:p w:rsidR="00000000" w:rsidRPr="007469AE" w:rsidP="007469AE">
            <w:pPr>
              <w:pStyle w:val="BodyText"/>
            </w:pPr>
            <w:r w:rsidRPr="007469AE">
              <w:t>Assessment must satisfy the Principles of Assessment and Rules of Evidence and all regulatory requirements included w</w:t>
            </w:r>
            <w:r w:rsidRPr="007469AE">
              <w:t>ithin the Standards for Registered Training Organisations current at the time of assessment.</w:t>
            </w:r>
          </w:p>
          <w:p w:rsidR="00000000" w:rsidRPr="007469AE" w:rsidP="007469AE">
            <w:pPr>
              <w:pStyle w:val="BodyText"/>
            </w:pPr>
            <w:r w:rsidRPr="007469AE">
              <w:t>Assessment must occur in workplace operational situations where it is appropriate to do so.</w:t>
            </w:r>
          </w:p>
          <w:p w:rsidR="00000000" w:rsidRPr="007469AE" w:rsidP="007469AE">
            <w:pPr>
              <w:pStyle w:val="BodyText"/>
            </w:pPr>
            <w:r w:rsidRPr="007469AE">
              <w:t>Where this is not appropriate, assessment must occur in simulated condi</w:t>
            </w:r>
            <w:r w:rsidRPr="007469AE">
              <w:t>tions involving realistic and authentic activities that replicate operational workplace conditions.</w:t>
            </w:r>
          </w:p>
          <w:p w:rsidR="00000000" w:rsidRPr="007469AE" w:rsidP="007469AE">
            <w:pPr>
              <w:pStyle w:val="BodyText"/>
            </w:pPr>
            <w:r w:rsidRPr="007469AE">
              <w:t>Assessment processes and techniques must be appropriate to the language, literacy and numeracy requirements of the work being performed and the needs of the</w:t>
            </w:r>
            <w:r w:rsidRPr="007469AE">
              <w:t xml:space="preserve"> candidate.</w:t>
            </w:r>
          </w:p>
          <w:p w:rsidR="00000000" w:rsidRPr="007469AE" w:rsidP="007469AE">
            <w:pPr>
              <w:pStyle w:val="BodyText"/>
            </w:pPr>
            <w:r w:rsidRPr="007469AE">
              <w:t>Resources for assessment must include access to:</w:t>
            </w:r>
          </w:p>
          <w:p w:rsidR="00000000" w:rsidRPr="007469AE" w:rsidP="007469AE">
            <w:pPr>
              <w:pStyle w:val="ListBullet"/>
            </w:pPr>
            <w:r w:rsidRPr="007469AE">
              <w:t>relevant and appropriate materials, tools, facilities, equipment and PPE currently used in industry</w:t>
            </w:r>
          </w:p>
          <w:p w:rsidR="00000000" w:rsidRPr="007469AE" w:rsidP="007469AE">
            <w:pPr>
              <w:pStyle w:val="ListBullet"/>
            </w:pPr>
            <w:r w:rsidRPr="007469AE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7469AE" w:rsidP="007469AE">
      <w:pPr>
        <w:pStyle w:val="NoPaddingFontSize1"/>
      </w:pPr>
    </w:p>
    <w:p w:rsidR="00000000" w:rsidRPr="007469AE" w:rsidP="007469AE">
      <w:pPr>
        <w:pStyle w:val="AllowPageBreak"/>
      </w:pPr>
    </w:p>
    <w:p w:rsidR="00000000" w:rsidRPr="007469AE" w:rsidP="007469AE">
      <w:pPr>
        <w:pStyle w:val="Heading1"/>
      </w:pPr>
      <w:bookmarkStart w:id="5" w:name="O_1237018"/>
      <w:bookmarkEnd w:id="5"/>
      <w:r w:rsidRPr="007469AE">
        <w:t>Links</w:t>
      </w:r>
    </w:p>
    <w:p w:rsidR="00000000" w:rsidRPr="007469AE" w:rsidP="00355E2E">
      <w:pPr>
        <w:pStyle w:val="BodyText"/>
      </w:pPr>
      <w:r w:rsidRPr="007469AE">
        <w:t>Companion Volume Implementation Guides are found in VETNet -</w:t>
      </w:r>
      <w:r w:rsidRPr="007469AE">
        <w:t xml:space="preserve">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9727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469AE" w:rsidP="007469AE"/>
    <w:sectPr w:rsidSect="007469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9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9AE" w:rsidRPr="00355E2E" w:rsidP="00355E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9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E2E" w:rsidP="007469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5E2E" w:rsidP="007469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55E2E" w:rsidP="007469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9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E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69AE" w:rsidRPr="00355E2E" w:rsidP="00355E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9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E2E" w:rsidRPr="002D2AF8" w:rsidP="007469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UETDRIS026 Diagnose and resolve faults in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355E2E" w:rsidP="007469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D0B1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B89D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FA34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9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69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69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69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69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69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69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69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69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69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69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69AE"/>
  </w:style>
  <w:style w:type="character" w:customStyle="1" w:styleId="Heading1Char">
    <w:name w:val="Heading 1 Char"/>
    <w:basedOn w:val="DefaultParagraphFont"/>
    <w:link w:val="Heading1"/>
    <w:rsid w:val="007469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69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69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69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69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69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69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469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69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69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69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69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69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69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69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69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69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69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69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69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69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69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69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69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69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69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69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69AE"/>
    <w:rPr>
      <w:b/>
      <w:spacing w:val="0"/>
    </w:rPr>
  </w:style>
  <w:style w:type="paragraph" w:customStyle="1" w:styleId="SuperTitle">
    <w:name w:val="SuperTitle"/>
    <w:basedOn w:val="Title"/>
    <w:rsid w:val="007469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69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69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69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69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69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69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69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69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69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69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69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69AE"/>
    <w:rPr>
      <w:i/>
    </w:rPr>
  </w:style>
  <w:style w:type="paragraph" w:styleId="Caption">
    <w:name w:val="caption"/>
    <w:basedOn w:val="BodyText"/>
    <w:next w:val="Normal"/>
    <w:qFormat/>
    <w:rsid w:val="007469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69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69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69AE"/>
  </w:style>
  <w:style w:type="paragraph" w:styleId="TableofFigures">
    <w:name w:val="table of figures"/>
    <w:basedOn w:val="Normal"/>
    <w:next w:val="Normal"/>
    <w:semiHidden/>
    <w:rsid w:val="007469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69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69AE"/>
    <w:rPr>
      <w:rFonts w:ascii="Wingdings" w:hAnsi="Wingdings"/>
    </w:rPr>
  </w:style>
  <w:style w:type="paragraph" w:customStyle="1" w:styleId="TableHeading">
    <w:name w:val="Table Heading"/>
    <w:basedOn w:val="HeadingBase"/>
    <w:rsid w:val="007469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69AE"/>
    <w:rPr>
      <w:color w:val="0033CC"/>
      <w:u w:val="none"/>
    </w:rPr>
  </w:style>
  <w:style w:type="paragraph" w:customStyle="1" w:styleId="BodyTextRight">
    <w:name w:val="Body Text Right"/>
    <w:basedOn w:val="BodyText"/>
    <w:rsid w:val="007469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69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69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69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69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69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69AE"/>
    <w:rPr>
      <w:sz w:val="32"/>
    </w:rPr>
  </w:style>
  <w:style w:type="paragraph" w:customStyle="1" w:styleId="HeadingProcedure">
    <w:name w:val="Heading Procedure"/>
    <w:basedOn w:val="HeadingBase"/>
    <w:next w:val="Normal"/>
    <w:rsid w:val="007469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69AE"/>
    <w:pPr>
      <w:spacing w:before="60" w:after="60"/>
    </w:pPr>
  </w:style>
  <w:style w:type="paragraph" w:styleId="ListContinue">
    <w:name w:val="List Continue"/>
    <w:basedOn w:val="List"/>
    <w:rsid w:val="007469AE"/>
    <w:pPr>
      <w:ind w:firstLine="0"/>
    </w:pPr>
  </w:style>
  <w:style w:type="paragraph" w:customStyle="1" w:styleId="ListNote">
    <w:name w:val="List Note"/>
    <w:basedOn w:val="List"/>
    <w:rsid w:val="007469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69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69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69AE"/>
    <w:rPr>
      <w:rFonts w:ascii="Courier New" w:hAnsi="Courier New"/>
    </w:rPr>
  </w:style>
  <w:style w:type="paragraph" w:customStyle="1" w:styleId="NoteBullet">
    <w:name w:val="Note Bullet"/>
    <w:basedOn w:val="Note"/>
    <w:rsid w:val="007469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69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69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69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69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69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69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69AE"/>
    <w:rPr>
      <w:b/>
      <w:smallCaps/>
    </w:rPr>
  </w:style>
  <w:style w:type="paragraph" w:customStyle="1" w:styleId="TableListNumber">
    <w:name w:val="Table List Number"/>
    <w:basedOn w:val="ListNumber"/>
    <w:rsid w:val="007469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69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69AE"/>
    <w:pPr>
      <w:numPr>
        <w:numId w:val="9"/>
      </w:numPr>
    </w:pPr>
  </w:style>
  <w:style w:type="paragraph" w:customStyle="1" w:styleId="ListAlpha2">
    <w:name w:val="List Alpha 2"/>
    <w:basedOn w:val="List2"/>
    <w:rsid w:val="007469AE"/>
    <w:pPr>
      <w:numPr>
        <w:numId w:val="8"/>
      </w:numPr>
    </w:pPr>
  </w:style>
  <w:style w:type="paragraph" w:styleId="List2">
    <w:name w:val="List 2"/>
    <w:basedOn w:val="BodyText"/>
    <w:rsid w:val="007469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69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69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69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69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69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69AE"/>
    <w:pPr>
      <w:numPr>
        <w:numId w:val="4"/>
      </w:numPr>
    </w:pPr>
  </w:style>
  <w:style w:type="paragraph" w:styleId="ListContinue2">
    <w:name w:val="List Continue 2"/>
    <w:basedOn w:val="List2"/>
    <w:rsid w:val="007469AE"/>
    <w:pPr>
      <w:ind w:firstLine="0"/>
    </w:pPr>
  </w:style>
  <w:style w:type="paragraph" w:styleId="ListContinue3">
    <w:name w:val="List Continue 3"/>
    <w:basedOn w:val="List3"/>
    <w:rsid w:val="007469AE"/>
    <w:pPr>
      <w:ind w:left="1021" w:firstLine="0"/>
    </w:pPr>
  </w:style>
  <w:style w:type="paragraph" w:styleId="ListContinue4">
    <w:name w:val="List Continue 4"/>
    <w:basedOn w:val="List4"/>
    <w:rsid w:val="007469AE"/>
    <w:pPr>
      <w:ind w:firstLine="0"/>
    </w:pPr>
  </w:style>
  <w:style w:type="paragraph" w:styleId="ListContinue5">
    <w:name w:val="List Continue 5"/>
    <w:basedOn w:val="List5"/>
    <w:rsid w:val="007469AE"/>
    <w:pPr>
      <w:ind w:firstLine="0"/>
    </w:pPr>
  </w:style>
  <w:style w:type="paragraph" w:styleId="ListNumber3">
    <w:name w:val="List Number 3"/>
    <w:basedOn w:val="List3"/>
    <w:rsid w:val="007469AE"/>
    <w:pPr>
      <w:numPr>
        <w:numId w:val="5"/>
      </w:numPr>
    </w:pPr>
  </w:style>
  <w:style w:type="paragraph" w:styleId="ListNumber4">
    <w:name w:val="List Number 4"/>
    <w:basedOn w:val="List4"/>
    <w:rsid w:val="007469AE"/>
    <w:pPr>
      <w:numPr>
        <w:numId w:val="6"/>
      </w:numPr>
    </w:pPr>
  </w:style>
  <w:style w:type="paragraph" w:styleId="ListNumber5">
    <w:name w:val="List Number 5"/>
    <w:basedOn w:val="List5"/>
    <w:rsid w:val="007469AE"/>
    <w:pPr>
      <w:numPr>
        <w:numId w:val="7"/>
      </w:numPr>
    </w:pPr>
  </w:style>
  <w:style w:type="paragraph" w:styleId="BlockText">
    <w:name w:val="Block Text"/>
    <w:basedOn w:val="Normal"/>
    <w:rsid w:val="007469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69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69AE"/>
    <w:rPr>
      <w:sz w:val="16"/>
      <w:vertAlign w:val="superscript"/>
    </w:rPr>
  </w:style>
  <w:style w:type="character" w:customStyle="1" w:styleId="Symbols">
    <w:name w:val="Symbols"/>
    <w:basedOn w:val="DefaultParagraphFont"/>
    <w:rsid w:val="007469AE"/>
    <w:rPr>
      <w:rFonts w:ascii="Symbol" w:hAnsi="Symbol"/>
    </w:rPr>
  </w:style>
  <w:style w:type="character" w:customStyle="1" w:styleId="MenuOptions">
    <w:name w:val="Menu Options"/>
    <w:basedOn w:val="DefaultParagraphFont"/>
    <w:rsid w:val="007469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69AE"/>
    <w:rPr>
      <w:b/>
    </w:rPr>
  </w:style>
  <w:style w:type="character" w:customStyle="1" w:styleId="Underlined">
    <w:name w:val="Underlined"/>
    <w:basedOn w:val="DefaultParagraphFont"/>
    <w:rsid w:val="007469AE"/>
    <w:rPr>
      <w:u w:val="single"/>
    </w:rPr>
  </w:style>
  <w:style w:type="paragraph" w:customStyle="1" w:styleId="TableBodyTextRight">
    <w:name w:val="Table Body Text Right"/>
    <w:basedOn w:val="TableBodyText"/>
    <w:rsid w:val="007469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69AE"/>
    <w:rPr>
      <w:sz w:val="18"/>
    </w:rPr>
  </w:style>
  <w:style w:type="paragraph" w:customStyle="1" w:styleId="BodySmallRight">
    <w:name w:val="Body Small Right"/>
    <w:basedOn w:val="BodyTextRight"/>
    <w:rsid w:val="007469AE"/>
    <w:rPr>
      <w:sz w:val="18"/>
      <w:szCs w:val="18"/>
    </w:rPr>
  </w:style>
  <w:style w:type="paragraph" w:customStyle="1" w:styleId="MarginEdition">
    <w:name w:val="Margin Edition"/>
    <w:basedOn w:val="MarginNote"/>
    <w:rsid w:val="007469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69AE"/>
    <w:rPr>
      <w:sz w:val="2"/>
      <w:szCs w:val="2"/>
    </w:rPr>
  </w:style>
  <w:style w:type="character" w:customStyle="1" w:styleId="Small">
    <w:name w:val="Small"/>
    <w:basedOn w:val="DefaultParagraphFont"/>
    <w:rsid w:val="007469AE"/>
    <w:rPr>
      <w:sz w:val="16"/>
    </w:rPr>
  </w:style>
  <w:style w:type="paragraph" w:customStyle="1" w:styleId="WideTable">
    <w:name w:val="Wide Table"/>
    <w:basedOn w:val="Normal"/>
    <w:rsid w:val="007469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69AE"/>
  </w:style>
  <w:style w:type="paragraph" w:styleId="Quote">
    <w:name w:val="Quote"/>
    <w:basedOn w:val="Heading1"/>
    <w:link w:val="QuoteChar"/>
    <w:qFormat/>
    <w:rsid w:val="007469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69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69AE"/>
    <w:pPr>
      <w:pageBreakBefore/>
    </w:pPr>
  </w:style>
  <w:style w:type="paragraph" w:customStyle="1" w:styleId="Border">
    <w:name w:val="Border"/>
    <w:basedOn w:val="Normal"/>
    <w:qFormat/>
    <w:rsid w:val="007469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69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9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9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69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69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69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69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69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69AE"/>
    <w:rPr>
      <w:u w:val="single"/>
    </w:rPr>
  </w:style>
  <w:style w:type="character" w:customStyle="1" w:styleId="BoldandItalics">
    <w:name w:val="Bold and Italics"/>
    <w:qFormat/>
    <w:rsid w:val="007469AE"/>
    <w:rPr>
      <w:b/>
      <w:i/>
      <w:u w:val="none"/>
    </w:rPr>
  </w:style>
  <w:style w:type="paragraph" w:styleId="BalloonText">
    <w:name w:val="Balloon Text"/>
    <w:basedOn w:val="Normal"/>
    <w:link w:val="BalloonTextChar"/>
    <w:rsid w:val="007469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69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69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69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69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69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69AE"/>
    <w:pPr>
      <w:spacing w:before="0" w:after="0"/>
    </w:pPr>
  </w:style>
  <w:style w:type="paragraph" w:customStyle="1" w:styleId="BodyTextBold">
    <w:name w:val="Body Text Bold"/>
    <w:basedOn w:val="BodyText"/>
    <w:qFormat/>
    <w:rsid w:val="007469AE"/>
    <w:rPr>
      <w:b/>
    </w:rPr>
  </w:style>
  <w:style w:type="character" w:styleId="Hyperlink">
    <w:name w:val="Hyperlink"/>
    <w:basedOn w:val="DefaultParagraphFont"/>
    <w:uiPriority w:val="99"/>
    <w:unhideWhenUsed/>
    <w:rsid w:val="00355E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791</Words>
  <Characters>5372</Characters>
  <Application>Microsoft Office Word</Application>
  <DocSecurity>0</DocSecurity>
  <Lines>124</Lines>
  <Paragraphs>102</Paragraphs>
  <ScaleCrop>false</ScaleCrop>
  <Company>Author-it Software Corporation Ltd.</Company>
  <LinksUpToDate>false</LinksUpToDate>
  <CharactersWithSpaces>6061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UETDRIS026 Diagnose and resolve faults in electrical apparatus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2024-11-29T00:38:00Z</dcterms:created>
  <dcterms:modified xsi:type="dcterms:W3CDTF">2024-11-29T00:38:00Z</dcterms:modified>
</cp:coreProperties>
</file>