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04F" w:rsidP="00C23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UETDRIS025 Diagnose and resolve faults in distribution systems</w:t>
      </w:r>
      <w:r>
        <w:fldChar w:fldCharType="end"/>
      </w:r>
    </w:p>
    <w:p w:rsidR="00C2304F" w:rsidP="00C2304F">
      <w:pPr>
        <w:pStyle w:val="Version"/>
        <w:sectPr w:rsidSect="00E11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91B" w:rsidP="00E1191B">
      <w:pPr>
        <w:pStyle w:val="SuperHeading"/>
      </w:pPr>
      <w:r w:rsidRPr="00E1191B">
        <w:t>Assessment Requirements for UETDRIS025 Diagnose and resolve faults in distribution systems</w:t>
      </w:r>
    </w:p>
    <w:p w:rsidR="00000000" w:rsidRPr="00E1191B" w:rsidP="00E1191B">
      <w:pPr>
        <w:pStyle w:val="Heading1"/>
      </w:pPr>
      <w:bookmarkStart w:id="1" w:name="O_1236993"/>
      <w:bookmarkEnd w:id="1"/>
      <w:r w:rsidRPr="00E119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1B" w:rsidP="00E1191B">
            <w:pPr>
              <w:pStyle w:val="BodyText"/>
            </w:pPr>
            <w:r w:rsidRPr="00E1191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1191B" w:rsidP="00E1191B">
      <w:pPr>
        <w:pStyle w:val="NoPaddingFontSize1"/>
      </w:pPr>
    </w:p>
    <w:p w:rsidR="00000000" w:rsidRPr="00E1191B" w:rsidP="00E1191B">
      <w:pPr>
        <w:pStyle w:val="AllowPageBreak"/>
      </w:pPr>
    </w:p>
    <w:p w:rsidR="00000000" w:rsidRPr="00E1191B" w:rsidP="00E1191B">
      <w:pPr>
        <w:pStyle w:val="Heading1"/>
      </w:pPr>
      <w:bookmarkStart w:id="2" w:name="O_1236994"/>
      <w:bookmarkEnd w:id="2"/>
      <w:r w:rsidRPr="00E119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1B">
            <w:pPr>
              <w:pStyle w:val="BodyText"/>
              <w:rPr>
                <w:lang w:val="en-NZ"/>
              </w:rPr>
            </w:pPr>
            <w:r w:rsidRPr="00E1191B">
              <w:t>Evidence required to demonstrate competence in this unit must be r</w:t>
            </w:r>
            <w:r w:rsidRPr="00E1191B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1B" w:rsidP="00E1191B">
            <w:pPr>
              <w:pStyle w:val="ListBullet"/>
            </w:pPr>
            <w:r w:rsidRPr="00E1191B">
              <w:t>applying relevant legislation, regulations, standards, codes of practice and organisational workplace requiremen</w:t>
            </w:r>
            <w:r w:rsidRPr="00E1191B">
              <w:t>ts including:</w:t>
            </w:r>
          </w:p>
          <w:p w:rsidR="00000000" w:rsidRPr="00E1191B" w:rsidP="00E1191B">
            <w:pPr>
              <w:pStyle w:val="ListBullet2"/>
            </w:pPr>
            <w:r w:rsidRPr="00E1191B">
              <w:t>work health and safety (WHS)/occupational health and safety (OHS) requirements</w:t>
            </w:r>
          </w:p>
          <w:p w:rsidR="00000000" w:rsidRPr="00E1191B" w:rsidP="00E1191B">
            <w:pPr>
              <w:pStyle w:val="ListBullet"/>
            </w:pPr>
            <w:r w:rsidRPr="00E1191B">
              <w:t>identifying hazards, assessing risks, identifying, applying and monitoring control measures</w:t>
            </w:r>
          </w:p>
          <w:p w:rsidR="00000000" w:rsidRPr="00E1191B" w:rsidP="00E1191B">
            <w:pPr>
              <w:pStyle w:val="ListBullet"/>
            </w:pPr>
            <w:r w:rsidRPr="00E1191B">
              <w:t>obtaining, inspecting and using relevant personal protective equipment (PPE)</w:t>
            </w:r>
          </w:p>
          <w:p w:rsidR="00000000" w:rsidRPr="00E1191B" w:rsidP="00E1191B">
            <w:pPr>
              <w:pStyle w:val="ListBullet"/>
            </w:pPr>
            <w:r w:rsidRPr="00E1191B">
              <w:t>dealing with an unplanned event on at least one (1) occasion</w:t>
            </w:r>
          </w:p>
          <w:p w:rsidR="00000000" w:rsidRPr="00E1191B" w:rsidP="00E1191B">
            <w:pPr>
              <w:pStyle w:val="ListBullet"/>
            </w:pPr>
            <w:r w:rsidRPr="00E1191B">
              <w:t>obtaining and signing work permits in accordance with workplace requirements</w:t>
            </w:r>
          </w:p>
          <w:p w:rsidR="00000000" w:rsidRPr="00E1191B" w:rsidP="00E1191B">
            <w:pPr>
              <w:pStyle w:val="ListBullet"/>
            </w:pPr>
            <w:r w:rsidRPr="00E1191B">
              <w:t>completing relevant work records, reports</w:t>
            </w:r>
            <w:r w:rsidRPr="00E1191B">
              <w:t xml:space="preserve"> and documentation</w:t>
            </w:r>
          </w:p>
          <w:p w:rsidR="00000000" w:rsidRPr="00E1191B" w:rsidP="00E1191B">
            <w:pPr>
              <w:pStyle w:val="ListBullet"/>
            </w:pPr>
            <w:r w:rsidRPr="00E1191B">
              <w:t>diagnosing and resolving faults in distribution systems, including:</w:t>
            </w:r>
          </w:p>
          <w:p w:rsidR="00000000" w:rsidRPr="00E1191B" w:rsidP="00E1191B">
            <w:pPr>
              <w:pStyle w:val="ListBullet2"/>
            </w:pPr>
            <w:r w:rsidRPr="00E1191B">
              <w:t>applying logical diagnostic methods</w:t>
            </w:r>
          </w:p>
          <w:p w:rsidR="00000000" w:rsidRPr="00E1191B" w:rsidP="00E1191B">
            <w:pPr>
              <w:pStyle w:val="ListBullet2"/>
            </w:pPr>
            <w:r w:rsidRPr="00E1191B">
              <w:t>using fault scenarios to test the cause of system faults</w:t>
            </w:r>
          </w:p>
          <w:p w:rsidR="00000000" w:rsidRPr="00E1191B" w:rsidP="00E1191B">
            <w:pPr>
              <w:pStyle w:val="ListBullet2"/>
            </w:pPr>
            <w:r w:rsidRPr="00E1191B">
              <w:t>identifying faults and competency needed to resolve them</w:t>
            </w:r>
          </w:p>
          <w:p w:rsidR="00000000" w:rsidRPr="00E1191B" w:rsidP="00E1191B">
            <w:pPr>
              <w:pStyle w:val="ListBullet2"/>
            </w:pPr>
            <w:r w:rsidRPr="00E1191B">
              <w:t>resolving faults i</w:t>
            </w:r>
            <w:r w:rsidRPr="00E1191B">
              <w:t>n system controls</w:t>
            </w:r>
          </w:p>
          <w:p w:rsidR="00000000" w:rsidRPr="00E1191B" w:rsidP="00E1191B">
            <w:pPr>
              <w:pStyle w:val="ListBullet2"/>
            </w:pPr>
            <w:r w:rsidRPr="00E1191B">
              <w:t>verifying that the system operates within parameters</w:t>
            </w:r>
          </w:p>
          <w:p w:rsidR="00000000" w:rsidRPr="00E1191B" w:rsidP="00E1191B">
            <w:pPr>
              <w:pStyle w:val="ListBullet2"/>
            </w:pPr>
            <w:r w:rsidRPr="00E1191B">
              <w:t>documenting fault rectification.</w:t>
            </w:r>
          </w:p>
        </w:tc>
      </w:tr>
    </w:tbl>
    <w:p w:rsidR="00000000" w:rsidRPr="00E1191B" w:rsidP="00E1191B">
      <w:pPr>
        <w:pStyle w:val="NoPaddingFontSize1"/>
      </w:pPr>
    </w:p>
    <w:p w:rsidR="00000000" w:rsidRPr="00E1191B" w:rsidP="00E1191B">
      <w:pPr>
        <w:pStyle w:val="AllowPageBreak"/>
      </w:pPr>
    </w:p>
    <w:p w:rsidR="00000000" w:rsidRPr="00E1191B" w:rsidP="00E1191B">
      <w:pPr>
        <w:pStyle w:val="Heading1"/>
      </w:pPr>
      <w:bookmarkStart w:id="3" w:name="O_1236995"/>
      <w:bookmarkEnd w:id="3"/>
      <w:r w:rsidRPr="00E119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1B">
            <w:pPr>
              <w:pStyle w:val="BodyText"/>
              <w:rPr>
                <w:lang w:val="en-NZ"/>
              </w:rPr>
            </w:pPr>
            <w:r w:rsidRPr="00E1191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1B" w:rsidP="00E1191B">
            <w:pPr>
              <w:pStyle w:val="ListBullet"/>
            </w:pPr>
            <w:r w:rsidRPr="00E1191B">
              <w:t>relevant legislation, regulations, standards, codes of practice and organi</w:t>
            </w:r>
            <w:r w:rsidRPr="00E1191B">
              <w:t xml:space="preserve">sational workplace requirements including WHS/OHS requirements </w:t>
            </w:r>
          </w:p>
          <w:p w:rsidR="00000000" w:rsidRPr="00E1191B" w:rsidP="00E1191B">
            <w:pPr>
              <w:pStyle w:val="ListBullet"/>
            </w:pPr>
            <w:r w:rsidRPr="00E1191B">
              <w:t>hazard, risk assessment and risk control requirements, including potential hazards</w:t>
            </w:r>
          </w:p>
          <w:p w:rsidR="00000000" w:rsidRPr="00E1191B" w:rsidP="00E1191B">
            <w:pPr>
              <w:pStyle w:val="ListBullet"/>
            </w:pPr>
            <w:r w:rsidRPr="00E1191B">
              <w:t>types and application of PPE</w:t>
            </w:r>
          </w:p>
          <w:p w:rsidR="00000000" w:rsidRPr="00E1191B" w:rsidP="00E1191B">
            <w:pPr>
              <w:pStyle w:val="ListBullet"/>
            </w:pPr>
            <w:r w:rsidRPr="00E1191B">
              <w:t xml:space="preserve">safe use of plant, tools and equipment </w:t>
            </w:r>
          </w:p>
          <w:p w:rsidR="00000000" w:rsidRPr="00E1191B" w:rsidP="00E1191B">
            <w:pPr>
              <w:pStyle w:val="ListBullet"/>
            </w:pPr>
            <w:r w:rsidRPr="00E1191B">
              <w:t>application, purpose and types of permit</w:t>
            </w:r>
            <w:r w:rsidRPr="00E1191B">
              <w:t>s</w:t>
            </w:r>
          </w:p>
          <w:p w:rsidR="00000000" w:rsidRPr="00E1191B" w:rsidP="00E1191B">
            <w:pPr>
              <w:pStyle w:val="ListBullet"/>
            </w:pPr>
            <w:r w:rsidRPr="00E1191B">
              <w:t>events constituting an unplanned event or incident</w:t>
            </w:r>
          </w:p>
          <w:p w:rsidR="00000000" w:rsidRPr="00E1191B" w:rsidP="00E1191B">
            <w:pPr>
              <w:pStyle w:val="ListBullet"/>
            </w:pPr>
            <w:r w:rsidRPr="00E1191B">
              <w:t>procedures for responding to an unplanned event or incident</w:t>
            </w:r>
          </w:p>
          <w:p w:rsidR="00000000" w:rsidRPr="00E1191B" w:rsidP="00E1191B">
            <w:pPr>
              <w:pStyle w:val="ListBullet"/>
            </w:pPr>
            <w:r w:rsidRPr="00E1191B">
              <w:t>workplace records, reports and documentation</w:t>
            </w:r>
          </w:p>
          <w:p w:rsidR="00000000" w:rsidRPr="00E1191B" w:rsidP="00E1191B">
            <w:pPr>
              <w:pStyle w:val="ListBullet"/>
            </w:pPr>
            <w:r w:rsidRPr="00E1191B">
              <w:t xml:space="preserve">control of high voltage (HV) and low voltage (LV), including: </w:t>
            </w:r>
          </w:p>
          <w:p w:rsidR="00000000" w:rsidRPr="00E1191B" w:rsidP="00E1191B">
            <w:pPr>
              <w:pStyle w:val="ListBullet2"/>
            </w:pPr>
            <w:r w:rsidRPr="00E1191B">
              <w:t>voltage control devices</w:t>
            </w:r>
          </w:p>
          <w:p w:rsidR="00000000" w:rsidRPr="00E1191B" w:rsidP="00E1191B">
            <w:pPr>
              <w:pStyle w:val="ListBullet2"/>
            </w:pPr>
            <w:r w:rsidRPr="00E1191B">
              <w:t>conditions leading to voltage collapse and system black</w:t>
            </w:r>
          </w:p>
          <w:p w:rsidR="00000000" w:rsidRPr="00E1191B" w:rsidP="00E1191B">
            <w:pPr>
              <w:pStyle w:val="ListBullet2"/>
            </w:pPr>
            <w:r w:rsidRPr="00E1191B">
              <w:t>voltage regulators applied to generators and synchronous phase modifiers</w:t>
            </w:r>
          </w:p>
          <w:p w:rsidR="00000000" w:rsidRPr="00E1191B" w:rsidP="00E1191B">
            <w:pPr>
              <w:pStyle w:val="ListBullet2"/>
            </w:pPr>
            <w:r w:rsidRPr="00E1191B">
              <w:t>electromagnetic voltage regulators</w:t>
            </w:r>
          </w:p>
          <w:p w:rsidR="00000000" w:rsidRPr="00E1191B" w:rsidP="00E1191B">
            <w:pPr>
              <w:pStyle w:val="ListBullet2"/>
            </w:pPr>
            <w:r w:rsidRPr="00E1191B">
              <w:t>series and parallel capacitors</w:t>
            </w:r>
          </w:p>
          <w:p w:rsidR="00000000" w:rsidRPr="00E1191B" w:rsidP="00E1191B">
            <w:pPr>
              <w:pStyle w:val="ListBullet2"/>
            </w:pPr>
            <w:r w:rsidRPr="00E1191B">
              <w:t xml:space="preserve">on-load tap changer (OLTC) transformers </w:t>
            </w:r>
          </w:p>
          <w:p w:rsidR="00000000" w:rsidRPr="00E1191B" w:rsidP="00E1191B">
            <w:pPr>
              <w:pStyle w:val="ListBullet2"/>
            </w:pPr>
            <w:r w:rsidRPr="00E1191B">
              <w:t>static VAR compensat</w:t>
            </w:r>
            <w:r w:rsidRPr="00E1191B">
              <w:t>ions (SVCs)</w:t>
            </w:r>
          </w:p>
          <w:p w:rsidR="00000000" w:rsidRPr="00E1191B" w:rsidP="00E1191B">
            <w:pPr>
              <w:pStyle w:val="ListBullet"/>
            </w:pPr>
            <w:r w:rsidRPr="00E1191B">
              <w:t>range of devices covered by SVCs, including:</w:t>
            </w:r>
          </w:p>
          <w:p w:rsidR="00000000" w:rsidRPr="00E1191B" w:rsidP="00E1191B">
            <w:pPr>
              <w:pStyle w:val="ListBullet2"/>
            </w:pPr>
            <w:r w:rsidRPr="00E1191B">
              <w:t>saturated reactor (SR) compensator</w:t>
            </w:r>
          </w:p>
          <w:p w:rsidR="00000000" w:rsidRPr="00E1191B" w:rsidP="00E1191B">
            <w:pPr>
              <w:pStyle w:val="ListBullet2"/>
            </w:pPr>
            <w:r w:rsidRPr="00E1191B">
              <w:t xml:space="preserve">thyristor controlled reactor (TCR) compensator </w:t>
            </w:r>
          </w:p>
          <w:p w:rsidR="00000000" w:rsidRPr="00E1191B" w:rsidP="00E1191B">
            <w:pPr>
              <w:pStyle w:val="ListBullet2"/>
            </w:pPr>
            <w:r w:rsidRPr="00E1191B">
              <w:t>combined TCR/TSC (thyristor switched capacitor)</w:t>
            </w:r>
          </w:p>
          <w:p w:rsidR="00000000" w:rsidRPr="00E1191B" w:rsidP="00E1191B">
            <w:pPr>
              <w:pStyle w:val="ListBullet2"/>
            </w:pPr>
            <w:r w:rsidRPr="00E1191B">
              <w:t>production of waveform distorting harmonics and control devices</w:t>
            </w:r>
          </w:p>
          <w:p w:rsidR="00000000" w:rsidRPr="00E1191B" w:rsidP="00E1191B">
            <w:pPr>
              <w:pStyle w:val="ListBullet"/>
            </w:pPr>
            <w:r w:rsidRPr="00E1191B">
              <w:t>i</w:t>
            </w:r>
            <w:r w:rsidRPr="00E1191B">
              <w:t>mportance of the location in the system of voltage control devices</w:t>
            </w:r>
          </w:p>
          <w:p w:rsidR="00000000" w:rsidRPr="00E1191B" w:rsidP="00E1191B">
            <w:pPr>
              <w:pStyle w:val="ListBullet"/>
            </w:pPr>
            <w:r w:rsidRPr="00E1191B">
              <w:t>types of communication systems including:</w:t>
            </w:r>
          </w:p>
          <w:p w:rsidR="00000000" w:rsidRPr="00E1191B" w:rsidP="00E1191B">
            <w:pPr>
              <w:pStyle w:val="ListBullet2"/>
            </w:pPr>
            <w:r w:rsidRPr="00E1191B">
              <w:t>telephone, power line carrier, dedicated cable, micro-wave links and fibre optics</w:t>
            </w:r>
          </w:p>
          <w:p w:rsidR="00000000" w:rsidRPr="00E1191B" w:rsidP="00E1191B">
            <w:pPr>
              <w:pStyle w:val="ListBullet2"/>
            </w:pPr>
            <w:r w:rsidRPr="00E1191B">
              <w:t xml:space="preserve">quantities and signals to be communicated </w:t>
            </w:r>
          </w:p>
          <w:p w:rsidR="00000000" w:rsidRPr="00E1191B" w:rsidP="00E1191B">
            <w:pPr>
              <w:pStyle w:val="ListBullet2"/>
            </w:pPr>
            <w:r w:rsidRPr="00E1191B">
              <w:t>advantages and disadvantages of various systems</w:t>
            </w:r>
          </w:p>
          <w:p w:rsidR="00000000" w:rsidRPr="00E1191B" w:rsidP="00E1191B">
            <w:pPr>
              <w:pStyle w:val="ListBullet2"/>
            </w:pPr>
            <w:r w:rsidRPr="00E1191B">
              <w:t>equipment requirements</w:t>
            </w:r>
          </w:p>
          <w:p w:rsidR="00000000" w:rsidRPr="00E1191B" w:rsidP="00E1191B">
            <w:pPr>
              <w:pStyle w:val="ListBullet"/>
            </w:pPr>
            <w:r w:rsidRPr="00E1191B">
              <w:t xml:space="preserve">transient over-voltages in power systems, including: </w:t>
            </w:r>
          </w:p>
          <w:p w:rsidR="00000000" w:rsidRPr="00E1191B" w:rsidP="00E1191B">
            <w:pPr>
              <w:pStyle w:val="ListBullet2"/>
            </w:pPr>
            <w:r w:rsidRPr="00E1191B">
              <w:t>switching and lightning over-voltages and their effect on different plant items</w:t>
            </w:r>
          </w:p>
          <w:p w:rsidR="00000000" w:rsidRPr="00E1191B" w:rsidP="00E1191B">
            <w:pPr>
              <w:pStyle w:val="ListBullet2"/>
            </w:pPr>
            <w:r w:rsidRPr="00E1191B">
              <w:t>transient over-voltage control and reduction usin</w:t>
            </w:r>
            <w:r w:rsidRPr="00E1191B">
              <w:t xml:space="preserve">g surge diverters, shield wires and circuit breaker control </w:t>
            </w:r>
          </w:p>
          <w:p w:rsidR="00000000" w:rsidRPr="00E1191B" w:rsidP="00E1191B">
            <w:pPr>
              <w:pStyle w:val="ListBullet2"/>
            </w:pPr>
            <w:r w:rsidRPr="00E1191B">
              <w:t>insulation systems, insulation coordination, insulation grading in plant items, bushings and capacitor bushings</w:t>
            </w:r>
          </w:p>
          <w:p w:rsidR="00000000" w:rsidRPr="00E1191B" w:rsidP="00E1191B">
            <w:pPr>
              <w:pStyle w:val="ListBullet"/>
            </w:pPr>
            <w:r w:rsidRPr="00E1191B">
              <w:t>operating parameters of circuit breakers and switches, including:</w:t>
            </w:r>
          </w:p>
          <w:p w:rsidR="00000000" w:rsidRPr="00E1191B" w:rsidP="00E1191B">
            <w:pPr>
              <w:pStyle w:val="ListBullet2"/>
            </w:pPr>
            <w:r w:rsidRPr="00E1191B">
              <w:t>principles of o</w:t>
            </w:r>
            <w:r w:rsidRPr="00E1191B">
              <w:t>peration</w:t>
            </w:r>
          </w:p>
          <w:p w:rsidR="00000000" w:rsidRPr="00E1191B" w:rsidP="00E1191B">
            <w:pPr>
              <w:pStyle w:val="ListBullet2"/>
            </w:pPr>
            <w:r w:rsidRPr="00E1191B">
              <w:t>voltage and current range</w:t>
            </w:r>
          </w:p>
          <w:p w:rsidR="00000000" w:rsidRPr="00E1191B" w:rsidP="00E1191B">
            <w:pPr>
              <w:pStyle w:val="ListBullet2"/>
            </w:pPr>
            <w:r w:rsidRPr="00E1191B">
              <w:t>breaking capacity</w:t>
            </w:r>
          </w:p>
          <w:p w:rsidR="00000000" w:rsidRPr="00E1191B" w:rsidP="00E1191B">
            <w:pPr>
              <w:pStyle w:val="ListBullet"/>
            </w:pPr>
            <w:r w:rsidRPr="00E1191B">
              <w:t xml:space="preserve">types of isolators </w:t>
            </w:r>
          </w:p>
          <w:p w:rsidR="00000000" w:rsidRPr="00E1191B" w:rsidP="00E1191B">
            <w:pPr>
              <w:pStyle w:val="ListBullet"/>
            </w:pPr>
            <w:r w:rsidRPr="00E1191B">
              <w:t>principles of circuit breaker auxiliary systems</w:t>
            </w:r>
          </w:p>
          <w:p w:rsidR="00000000" w:rsidRPr="00E1191B" w:rsidP="00E1191B">
            <w:pPr>
              <w:pStyle w:val="ListBullet"/>
            </w:pPr>
            <w:r w:rsidRPr="00E1191B">
              <w:t>impact of natural disasters</w:t>
            </w:r>
          </w:p>
          <w:p w:rsidR="00000000" w:rsidRPr="00E1191B" w:rsidP="00E1191B">
            <w:pPr>
              <w:pStyle w:val="ListBullet"/>
            </w:pPr>
            <w:r w:rsidRPr="00E1191B">
              <w:t>faults related to deteriorating equipment.</w:t>
            </w:r>
          </w:p>
        </w:tc>
      </w:tr>
    </w:tbl>
    <w:p w:rsidR="00000000" w:rsidRPr="00E1191B" w:rsidP="00E1191B">
      <w:pPr>
        <w:pStyle w:val="NoPaddingFontSize1"/>
      </w:pPr>
    </w:p>
    <w:p w:rsidR="00000000" w:rsidRPr="00E1191B" w:rsidP="00E1191B">
      <w:pPr>
        <w:pStyle w:val="AllowPageBreak"/>
      </w:pPr>
    </w:p>
    <w:p w:rsidR="00000000" w:rsidRPr="00E1191B" w:rsidP="00E1191B">
      <w:pPr>
        <w:pStyle w:val="Heading1"/>
      </w:pPr>
      <w:bookmarkStart w:id="4" w:name="O_1236996"/>
      <w:bookmarkEnd w:id="4"/>
      <w:r w:rsidRPr="00E119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1B" w:rsidP="00E1191B">
            <w:pPr>
              <w:pStyle w:val="BodyText"/>
            </w:pPr>
            <w:r w:rsidRPr="00E1191B">
              <w:t>Assessors must hold credentials specified within the Standards for Registered Training Organisations current at the time of assessment.</w:t>
            </w:r>
          </w:p>
          <w:p w:rsidR="00000000" w:rsidRPr="00E1191B" w:rsidP="00E1191B">
            <w:pPr>
              <w:pStyle w:val="BodyText"/>
            </w:pPr>
            <w:r w:rsidRPr="00E1191B">
              <w:t xml:space="preserve">Assessment must satisfy the Principles of Assessment and Rules of Evidence and all regulatory </w:t>
            </w:r>
            <w:r w:rsidRPr="00E1191B">
              <w:t>requirements included with</w:t>
            </w:r>
            <w:r w:rsidRPr="00E1191B">
              <w:t>in the Standards for Registered Training Organisations current at the time of assessment.</w:t>
            </w:r>
          </w:p>
          <w:p w:rsidR="00000000" w:rsidRPr="00E1191B" w:rsidP="00E1191B">
            <w:pPr>
              <w:pStyle w:val="BodyText"/>
            </w:pPr>
            <w:r w:rsidRPr="00E1191B">
              <w:t>Assessment must occur in workplace operational situations where it is appropriate to do so.</w:t>
            </w:r>
          </w:p>
          <w:p w:rsidR="00000000" w:rsidRPr="00E1191B" w:rsidP="00E1191B">
            <w:pPr>
              <w:pStyle w:val="BodyText"/>
            </w:pPr>
            <w:r w:rsidRPr="00E1191B">
              <w:t>Where this is not appropriate, assessment must occur in simulated conditio</w:t>
            </w:r>
            <w:r w:rsidRPr="00E1191B">
              <w:t>ns involving realistic and authentic activities that replicate operational workplace conditions.</w:t>
            </w:r>
          </w:p>
          <w:p w:rsidR="00000000" w:rsidRPr="00E1191B" w:rsidP="00E1191B">
            <w:pPr>
              <w:pStyle w:val="BodyText"/>
            </w:pPr>
            <w:r w:rsidRPr="00E1191B">
              <w:t>Assessment processes and techniques must be appropriate to the language, literacy and numeracy requirements of the work being performed and the needs of the ca</w:t>
            </w:r>
            <w:r w:rsidRPr="00E1191B">
              <w:t>ndidate.</w:t>
            </w:r>
          </w:p>
          <w:p w:rsidR="00000000" w:rsidRPr="00E1191B" w:rsidP="00E1191B">
            <w:pPr>
              <w:pStyle w:val="BodyText"/>
            </w:pPr>
            <w:r w:rsidRPr="00E1191B">
              <w:t>Resources for assessment must include access to:</w:t>
            </w:r>
          </w:p>
          <w:p w:rsidR="00000000" w:rsidRPr="00E1191B" w:rsidP="00E1191B">
            <w:pPr>
              <w:pStyle w:val="ListBullet"/>
            </w:pPr>
            <w:r w:rsidRPr="00E1191B">
              <w:t>relevant and appropriate materials, tools, equipment and PPE currently used in industry</w:t>
            </w:r>
          </w:p>
          <w:p w:rsidR="00000000" w:rsidRPr="00E1191B" w:rsidP="00E1191B">
            <w:pPr>
              <w:pStyle w:val="ListBullet"/>
            </w:pPr>
            <w:r w:rsidRPr="00E1191B">
              <w:t>applicable documentation, including workplace requirements, equipment specifications, regulations, codes of p</w:t>
            </w:r>
            <w:r w:rsidRPr="00E1191B">
              <w:t>ractice and operation manuals.</w:t>
            </w:r>
          </w:p>
        </w:tc>
      </w:tr>
    </w:tbl>
    <w:p w:rsidR="00000000" w:rsidRPr="00E1191B" w:rsidP="00E1191B">
      <w:pPr>
        <w:pStyle w:val="NoPaddingFontSize1"/>
      </w:pPr>
    </w:p>
    <w:p w:rsidR="00000000" w:rsidRPr="00E1191B" w:rsidP="00E1191B">
      <w:pPr>
        <w:pStyle w:val="AllowPageBreak"/>
      </w:pPr>
    </w:p>
    <w:p w:rsidR="00000000" w:rsidRPr="00E1191B" w:rsidP="00E1191B">
      <w:pPr>
        <w:pStyle w:val="Heading1"/>
      </w:pPr>
      <w:bookmarkStart w:id="5" w:name="O_1236999"/>
      <w:bookmarkEnd w:id="5"/>
      <w:r w:rsidRPr="00E1191B">
        <w:t>Links</w:t>
      </w:r>
    </w:p>
    <w:p w:rsidR="00000000" w:rsidRPr="00E1191B" w:rsidP="00C2304F">
      <w:pPr>
        <w:pStyle w:val="BodyText"/>
      </w:pPr>
      <w:r w:rsidRPr="00E11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3135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91B" w:rsidP="00E1191B"/>
    <w:sectPr w:rsidSect="00E11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1B" w:rsidRPr="00C2304F" w:rsidP="00C23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 w:rsidP="00E11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04F" w:rsidP="00E11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2304F" w:rsidP="00E11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91B" w:rsidRPr="00C2304F" w:rsidP="00C23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 w:rsidRPr="002D2AF8" w:rsidP="00E11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UETDRIS025 Diagnose and resolve faults in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2304F" w:rsidP="00E11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25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A6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CD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91B"/>
  </w:style>
  <w:style w:type="character" w:customStyle="1" w:styleId="Heading1Char">
    <w:name w:val="Heading 1 Char"/>
    <w:basedOn w:val="DefaultParagraphFont"/>
    <w:link w:val="Heading1"/>
    <w:rsid w:val="00E11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9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9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91B"/>
    <w:rPr>
      <w:b/>
      <w:spacing w:val="0"/>
    </w:rPr>
  </w:style>
  <w:style w:type="paragraph" w:customStyle="1" w:styleId="SuperTitle">
    <w:name w:val="SuperTitle"/>
    <w:basedOn w:val="Title"/>
    <w:rsid w:val="00E11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91B"/>
    <w:rPr>
      <w:i/>
    </w:rPr>
  </w:style>
  <w:style w:type="paragraph" w:styleId="Caption">
    <w:name w:val="caption"/>
    <w:basedOn w:val="BodyText"/>
    <w:next w:val="Normal"/>
    <w:qFormat/>
    <w:rsid w:val="00E11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91B"/>
  </w:style>
  <w:style w:type="paragraph" w:styleId="TableofFigures">
    <w:name w:val="table of figures"/>
    <w:basedOn w:val="Normal"/>
    <w:next w:val="Normal"/>
    <w:semiHidden/>
    <w:rsid w:val="00E11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91B"/>
    <w:rPr>
      <w:rFonts w:ascii="Wingdings" w:hAnsi="Wingdings"/>
    </w:rPr>
  </w:style>
  <w:style w:type="paragraph" w:customStyle="1" w:styleId="TableHeading">
    <w:name w:val="Table Heading"/>
    <w:basedOn w:val="HeadingBase"/>
    <w:rsid w:val="00E11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91B"/>
    <w:rPr>
      <w:color w:val="0033CC"/>
      <w:u w:val="none"/>
    </w:rPr>
  </w:style>
  <w:style w:type="paragraph" w:customStyle="1" w:styleId="BodyTextRight">
    <w:name w:val="Body Text Right"/>
    <w:basedOn w:val="BodyText"/>
    <w:rsid w:val="00E11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91B"/>
    <w:rPr>
      <w:sz w:val="32"/>
    </w:rPr>
  </w:style>
  <w:style w:type="paragraph" w:customStyle="1" w:styleId="HeadingProcedure">
    <w:name w:val="Heading Procedure"/>
    <w:basedOn w:val="HeadingBase"/>
    <w:next w:val="Normal"/>
    <w:rsid w:val="00E11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91B"/>
    <w:pPr>
      <w:spacing w:before="60" w:after="60"/>
    </w:pPr>
  </w:style>
  <w:style w:type="paragraph" w:styleId="ListContinue">
    <w:name w:val="List Continue"/>
    <w:basedOn w:val="List"/>
    <w:rsid w:val="00E1191B"/>
    <w:pPr>
      <w:ind w:firstLine="0"/>
    </w:pPr>
  </w:style>
  <w:style w:type="paragraph" w:customStyle="1" w:styleId="ListNote">
    <w:name w:val="List Note"/>
    <w:basedOn w:val="List"/>
    <w:rsid w:val="00E11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91B"/>
    <w:rPr>
      <w:rFonts w:ascii="Courier New" w:hAnsi="Courier New"/>
    </w:rPr>
  </w:style>
  <w:style w:type="paragraph" w:customStyle="1" w:styleId="NoteBullet">
    <w:name w:val="Note Bullet"/>
    <w:basedOn w:val="Note"/>
    <w:rsid w:val="00E11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91B"/>
    <w:rPr>
      <w:b/>
      <w:smallCaps/>
    </w:rPr>
  </w:style>
  <w:style w:type="paragraph" w:customStyle="1" w:styleId="TableListNumber">
    <w:name w:val="Table List Number"/>
    <w:basedOn w:val="ListNumber"/>
    <w:rsid w:val="00E11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91B"/>
    <w:pPr>
      <w:numPr>
        <w:numId w:val="9"/>
      </w:numPr>
    </w:pPr>
  </w:style>
  <w:style w:type="paragraph" w:customStyle="1" w:styleId="ListAlpha2">
    <w:name w:val="List Alpha 2"/>
    <w:basedOn w:val="List2"/>
    <w:rsid w:val="00E1191B"/>
    <w:pPr>
      <w:numPr>
        <w:numId w:val="8"/>
      </w:numPr>
    </w:pPr>
  </w:style>
  <w:style w:type="paragraph" w:styleId="List2">
    <w:name w:val="List 2"/>
    <w:basedOn w:val="BodyText"/>
    <w:rsid w:val="00E11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91B"/>
    <w:pPr>
      <w:numPr>
        <w:numId w:val="4"/>
      </w:numPr>
    </w:pPr>
  </w:style>
  <w:style w:type="paragraph" w:styleId="ListContinue2">
    <w:name w:val="List Continue 2"/>
    <w:basedOn w:val="List2"/>
    <w:rsid w:val="00E1191B"/>
    <w:pPr>
      <w:ind w:firstLine="0"/>
    </w:pPr>
  </w:style>
  <w:style w:type="paragraph" w:styleId="ListContinue3">
    <w:name w:val="List Continue 3"/>
    <w:basedOn w:val="List3"/>
    <w:rsid w:val="00E1191B"/>
    <w:pPr>
      <w:ind w:left="1021" w:firstLine="0"/>
    </w:pPr>
  </w:style>
  <w:style w:type="paragraph" w:styleId="ListContinue4">
    <w:name w:val="List Continue 4"/>
    <w:basedOn w:val="List4"/>
    <w:rsid w:val="00E1191B"/>
    <w:pPr>
      <w:ind w:firstLine="0"/>
    </w:pPr>
  </w:style>
  <w:style w:type="paragraph" w:styleId="ListContinue5">
    <w:name w:val="List Continue 5"/>
    <w:basedOn w:val="List5"/>
    <w:rsid w:val="00E1191B"/>
    <w:pPr>
      <w:ind w:firstLine="0"/>
    </w:pPr>
  </w:style>
  <w:style w:type="paragraph" w:styleId="ListNumber3">
    <w:name w:val="List Number 3"/>
    <w:basedOn w:val="List3"/>
    <w:rsid w:val="00E1191B"/>
    <w:pPr>
      <w:numPr>
        <w:numId w:val="5"/>
      </w:numPr>
    </w:pPr>
  </w:style>
  <w:style w:type="paragraph" w:styleId="ListNumber4">
    <w:name w:val="List Number 4"/>
    <w:basedOn w:val="List4"/>
    <w:rsid w:val="00E1191B"/>
    <w:pPr>
      <w:numPr>
        <w:numId w:val="6"/>
      </w:numPr>
    </w:pPr>
  </w:style>
  <w:style w:type="paragraph" w:styleId="ListNumber5">
    <w:name w:val="List Number 5"/>
    <w:basedOn w:val="List5"/>
    <w:rsid w:val="00E1191B"/>
    <w:pPr>
      <w:numPr>
        <w:numId w:val="7"/>
      </w:numPr>
    </w:pPr>
  </w:style>
  <w:style w:type="paragraph" w:styleId="BlockText">
    <w:name w:val="Block Text"/>
    <w:basedOn w:val="Normal"/>
    <w:rsid w:val="00E11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91B"/>
    <w:rPr>
      <w:sz w:val="16"/>
      <w:vertAlign w:val="superscript"/>
    </w:rPr>
  </w:style>
  <w:style w:type="character" w:customStyle="1" w:styleId="Symbols">
    <w:name w:val="Symbols"/>
    <w:basedOn w:val="DefaultParagraphFont"/>
    <w:rsid w:val="00E1191B"/>
    <w:rPr>
      <w:rFonts w:ascii="Symbol" w:hAnsi="Symbol"/>
    </w:rPr>
  </w:style>
  <w:style w:type="character" w:customStyle="1" w:styleId="MenuOptions">
    <w:name w:val="Menu Options"/>
    <w:basedOn w:val="DefaultParagraphFont"/>
    <w:rsid w:val="00E11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91B"/>
    <w:rPr>
      <w:b/>
    </w:rPr>
  </w:style>
  <w:style w:type="character" w:customStyle="1" w:styleId="Underlined">
    <w:name w:val="Underlined"/>
    <w:basedOn w:val="DefaultParagraphFont"/>
    <w:rsid w:val="00E1191B"/>
    <w:rPr>
      <w:u w:val="single"/>
    </w:rPr>
  </w:style>
  <w:style w:type="paragraph" w:customStyle="1" w:styleId="TableBodyTextRight">
    <w:name w:val="Table Body Text Right"/>
    <w:basedOn w:val="TableBodyText"/>
    <w:rsid w:val="00E11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91B"/>
    <w:rPr>
      <w:sz w:val="18"/>
    </w:rPr>
  </w:style>
  <w:style w:type="paragraph" w:customStyle="1" w:styleId="BodySmallRight">
    <w:name w:val="Body Small Right"/>
    <w:basedOn w:val="BodyTextRight"/>
    <w:rsid w:val="00E1191B"/>
    <w:rPr>
      <w:sz w:val="18"/>
      <w:szCs w:val="18"/>
    </w:rPr>
  </w:style>
  <w:style w:type="paragraph" w:customStyle="1" w:styleId="MarginEdition">
    <w:name w:val="Margin Edition"/>
    <w:basedOn w:val="MarginNote"/>
    <w:rsid w:val="00E11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91B"/>
    <w:rPr>
      <w:sz w:val="2"/>
      <w:szCs w:val="2"/>
    </w:rPr>
  </w:style>
  <w:style w:type="character" w:customStyle="1" w:styleId="Small">
    <w:name w:val="Small"/>
    <w:basedOn w:val="DefaultParagraphFont"/>
    <w:rsid w:val="00E1191B"/>
    <w:rPr>
      <w:sz w:val="16"/>
    </w:rPr>
  </w:style>
  <w:style w:type="paragraph" w:customStyle="1" w:styleId="WideTable">
    <w:name w:val="Wide Table"/>
    <w:basedOn w:val="Normal"/>
    <w:rsid w:val="00E11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91B"/>
  </w:style>
  <w:style w:type="paragraph" w:styleId="Quote">
    <w:name w:val="Quote"/>
    <w:basedOn w:val="Heading1"/>
    <w:link w:val="QuoteChar"/>
    <w:qFormat/>
    <w:rsid w:val="00E11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91B"/>
    <w:pPr>
      <w:pageBreakBefore/>
    </w:pPr>
  </w:style>
  <w:style w:type="paragraph" w:customStyle="1" w:styleId="Border">
    <w:name w:val="Border"/>
    <w:basedOn w:val="Normal"/>
    <w:qFormat/>
    <w:rsid w:val="00E11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91B"/>
    <w:rPr>
      <w:u w:val="single"/>
    </w:rPr>
  </w:style>
  <w:style w:type="character" w:customStyle="1" w:styleId="BoldandItalics">
    <w:name w:val="Bold and Italics"/>
    <w:qFormat/>
    <w:rsid w:val="00E1191B"/>
    <w:rPr>
      <w:b/>
      <w:i/>
      <w:u w:val="none"/>
    </w:rPr>
  </w:style>
  <w:style w:type="paragraph" w:styleId="BalloonText">
    <w:name w:val="Balloon Text"/>
    <w:basedOn w:val="Normal"/>
    <w:link w:val="BalloonTextChar"/>
    <w:rsid w:val="00E11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91B"/>
    <w:pPr>
      <w:spacing w:before="0" w:after="0"/>
    </w:pPr>
  </w:style>
  <w:style w:type="paragraph" w:customStyle="1" w:styleId="BodyTextBold">
    <w:name w:val="Body Text Bold"/>
    <w:basedOn w:val="BodyText"/>
    <w:qFormat/>
    <w:rsid w:val="00E1191B"/>
    <w:rPr>
      <w:b/>
    </w:rPr>
  </w:style>
  <w:style w:type="character" w:styleId="Hyperlink">
    <w:name w:val="Hyperlink"/>
    <w:basedOn w:val="DefaultParagraphFont"/>
    <w:uiPriority w:val="99"/>
    <w:unhideWhenUsed/>
    <w:rsid w:val="00C23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4474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UETDRIS025 Diagnose and resolve faults in distribution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