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DA0" w:rsidP="00BF6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UETDRIS021 Coordinate and direct switching programs</w:t>
      </w:r>
      <w:r>
        <w:fldChar w:fldCharType="end"/>
      </w:r>
    </w:p>
    <w:p w:rsidR="00BF6DA0" w:rsidP="00BF6DA0">
      <w:pPr>
        <w:pStyle w:val="Version"/>
        <w:sectPr w:rsidSect="00AB7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A0E" w:rsidP="00AB7A0E">
      <w:pPr>
        <w:pStyle w:val="SuperHeading"/>
      </w:pPr>
      <w:r w:rsidRPr="00AB7A0E">
        <w:t>UETDRIS021 Coordinate and direct switching programs</w:t>
      </w:r>
    </w:p>
    <w:p w:rsidR="00000000" w:rsidRPr="00AB7A0E" w:rsidP="00AB7A0E">
      <w:pPr>
        <w:pStyle w:val="Heading1"/>
      </w:pPr>
      <w:bookmarkStart w:id="1" w:name="O_1236907"/>
      <w:bookmarkEnd w:id="1"/>
      <w:r w:rsidRPr="00AB7A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2" w:name="O_1236908"/>
      <w:bookmarkEnd w:id="2"/>
      <w:r w:rsidRPr="00AB7A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This unit includes the skills and knowledge r</w:t>
            </w:r>
            <w:r w:rsidRPr="00AB7A0E">
              <w:t>equired to coordinate and direct switching programs in the electricity supply industry (ESI).</w:t>
            </w:r>
          </w:p>
          <w:p w:rsidR="00000000" w:rsidRPr="00AB7A0E" w:rsidP="00AB7A0E">
            <w:pPr>
              <w:pStyle w:val="BodyText"/>
            </w:pPr>
            <w:r w:rsidRPr="00AB7A0E">
              <w:t xml:space="preserve">It includes the coordination and direction of switching high voltage (HV) and low voltage (LV) network circuits. </w:t>
            </w:r>
          </w:p>
          <w:p w:rsidR="00000000" w:rsidRPr="00AB7A0E" w:rsidP="00AB7A0E">
            <w:pPr>
              <w:pStyle w:val="BodyText"/>
            </w:pPr>
            <w:r w:rsidRPr="00AB7A0E">
              <w:t xml:space="preserve">It also includes coordinating switching between </w:t>
            </w:r>
            <w:r w:rsidRPr="00AB7A0E">
              <w:t xml:space="preserve">operating authorities and customers. </w:t>
            </w:r>
          </w:p>
          <w:p w:rsidR="00000000" w:rsidRPr="00AB7A0E" w:rsidP="00AB7A0E">
            <w:pPr>
              <w:pStyle w:val="BodyText"/>
            </w:pPr>
            <w:r w:rsidRPr="00AB7A0E">
              <w:rPr>
                <w:rStyle w:val="Emphasis"/>
              </w:rPr>
              <w:t>Note: Entry into this unit is for users who:</w:t>
            </w:r>
          </w:p>
          <w:p w:rsidR="00000000" w:rsidRPr="00AB7A0E" w:rsidP="00AB7A0E">
            <w:pPr>
              <w:pStyle w:val="ListBullet"/>
            </w:pPr>
            <w:r w:rsidRPr="00AB7A0E">
              <w:rPr>
                <w:rStyle w:val="Emphasis"/>
              </w:rPr>
              <w:t>hold the unit UETDREL005 Work safely in the vicinity of live electrical apparatus or equivalent</w:t>
            </w:r>
          </w:p>
          <w:p w:rsidR="00000000" w:rsidRPr="00AB7A0E" w:rsidP="00AB7A0E">
            <w:pPr>
              <w:pStyle w:val="BodyText"/>
            </w:pPr>
            <w:r w:rsidRPr="00AB7A0E">
              <w:rPr>
                <w:rStyle w:val="Emphasis"/>
              </w:rPr>
              <w:t>and</w:t>
            </w:r>
          </w:p>
          <w:p w:rsidR="00000000" w:rsidRPr="00AB7A0E" w:rsidP="00AB7A0E">
            <w:pPr>
              <w:pStyle w:val="ListBullet"/>
            </w:pPr>
            <w:r w:rsidRPr="00AB7A0E">
              <w:rPr>
                <w:rStyle w:val="Emphasis"/>
              </w:rPr>
              <w:t>hold a UET Certificate III Qualification or the equivalent issued in an</w:t>
            </w:r>
            <w:r w:rsidRPr="00AB7A0E">
              <w:rPr>
                <w:rStyle w:val="Emphasis"/>
              </w:rPr>
              <w:t xml:space="preserve"> Australian state or territory,</w:t>
            </w:r>
          </w:p>
          <w:p w:rsidR="00000000" w:rsidRPr="00AB7A0E" w:rsidP="00AB7A0E">
            <w:pPr>
              <w:pStyle w:val="BodyText"/>
            </w:pPr>
            <w:r w:rsidRPr="00AB7A0E">
              <w:rPr>
                <w:rStyle w:val="Emphasis"/>
              </w:rPr>
              <w:t>or</w:t>
            </w:r>
          </w:p>
          <w:p w:rsidR="00000000" w:rsidRPr="00AB7A0E" w:rsidP="00AB7A0E">
            <w:pPr>
              <w:pStyle w:val="ListBullet"/>
            </w:pPr>
            <w:r w:rsidRPr="00AB7A0E">
              <w:rPr>
                <w:rStyle w:val="Emphasis"/>
              </w:rPr>
              <w:t>hold an Electrician or Electrical Fitter licence or the equivalent issued in an Australian state or territory,</w:t>
            </w:r>
          </w:p>
          <w:p w:rsidR="00000000" w:rsidRPr="00AB7A0E" w:rsidP="00AB7A0E">
            <w:pPr>
              <w:pStyle w:val="BodyText"/>
            </w:pPr>
            <w:r w:rsidRPr="00AB7A0E">
              <w:rPr>
                <w:rStyle w:val="Emphasis"/>
              </w:rPr>
              <w:t xml:space="preserve">or </w:t>
            </w:r>
          </w:p>
          <w:p w:rsidR="00000000" w:rsidRPr="00AB7A0E" w:rsidP="00AB7A0E">
            <w:pPr>
              <w:pStyle w:val="ListBullet"/>
            </w:pPr>
            <w:r w:rsidRPr="00AB7A0E">
              <w:rPr>
                <w:rStyle w:val="Emphasis"/>
              </w:rPr>
              <w:t xml:space="preserve">hold an Electrician or Electrical Fitter qualification or the equivalent issued in an Australian </w:t>
            </w:r>
            <w:r w:rsidRPr="00AB7A0E">
              <w:rPr>
                <w:rStyle w:val="Emphasis"/>
              </w:rPr>
              <w:t>state or territory.</w:t>
            </w:r>
          </w:p>
          <w:p w:rsidR="00000000" w:rsidRPr="00AB7A0E" w:rsidP="00AB7A0E">
            <w:pPr>
              <w:pStyle w:val="BodyText"/>
            </w:pPr>
            <w:r w:rsidRPr="00AB7A0E">
              <w:rPr>
                <w:rStyle w:val="Emphasis"/>
              </w:rPr>
              <w:t>In addition, Electricians or Electrical Fitters must have completed the unit UETDRIS032 Solve problems in network equipment, or equivalent to meet the requirements for working in the electricity supply industry (ESI).</w:t>
            </w:r>
          </w:p>
          <w:p w:rsidR="00000000" w:rsidRPr="00AB7A0E" w:rsidP="00AB7A0E">
            <w:pPr>
              <w:pStyle w:val="BodyText"/>
            </w:pPr>
            <w:r w:rsidRPr="00AB7A0E">
              <w:t>The application of</w:t>
            </w:r>
            <w:r w:rsidRPr="00AB7A0E">
              <w:t xml:space="preserve"> the skills and knowledge described in this unit may require a licence/registration to practice in the workplace.</w:t>
            </w:r>
          </w:p>
          <w:p w:rsidR="00000000" w:rsidRPr="00AB7A0E" w:rsidP="00AB7A0E">
            <w:pPr>
              <w:pStyle w:val="BodyText"/>
            </w:pPr>
            <w:r w:rsidRPr="00AB7A0E">
              <w:t>Other conditions may also apply under state and territory legislative and regulatory licensing requirements which must be confirmed prior to c</w:t>
            </w:r>
            <w:r w:rsidRPr="00AB7A0E">
              <w:t>ommencing this unit.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3" w:name="O_1236909"/>
      <w:bookmarkEnd w:id="3"/>
      <w:r w:rsidRPr="00AB7A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Refer to Application.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4" w:name="O_1236910"/>
      <w:bookmarkEnd w:id="4"/>
      <w:r w:rsidRPr="00AB7A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Industry Specific Cross Discipline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5" w:name="O_1236911"/>
      <w:bookmarkEnd w:id="5"/>
      <w:r w:rsidRPr="00AB7A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Not applicable.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6" w:name="O_1236912"/>
      <w:bookmarkEnd w:id="6"/>
      <w:r w:rsidRPr="00AB7A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PERFORMANCE CRITERIA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Performance criteria describe the performance needed to demonstrate achievement of the element.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rPr>
                <w:rStyle w:val="SpecialBold"/>
              </w:rPr>
              <w:t>Prepare to coordinate and direct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 xml:space="preserve">Purpose for the switching program is established in accordance with workplace requirements 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Legislation, regulations, standards, codes of practice and organisational workplace requirements for the work to be done are reviewed and determined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 xml:space="preserve">Data is analysed for best outcomes in accordance with workplace requirements 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Hazards are identified, risks assessed, and control measures identified and applied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 xml:space="preserve">Work plan is developed, validated and communicated with stakeholders in accordance with workplace requirements 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Work permits are determined in accordance with</w:t>
            </w:r>
            <w:r w:rsidRPr="00AB7A0E">
              <w:t xml:space="preserve"> workplace requirements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Operational personnel requirements are determined in accordance with workplace requirements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rPr>
                <w:rStyle w:val="SpecialBold"/>
              </w:rPr>
              <w:t>Coordinate and direct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Legislation, regulations, standards, codes of practice and organisational workplace requirements for the work to be performed are applied and monitored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Personnel are confirmed and coordinated in accordance with workplace requirements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Switchin</w:t>
            </w:r>
            <w:r w:rsidRPr="00AB7A0E">
              <w:t>g programs are coordinated and directed in accordance with workplace requirements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 xml:space="preserve">Work permits are received and signed in accordance with workplace requirements 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Hazard control measures are monitored in accordance with workplace requirements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Incidents or unplanned events are responded to in accordance with workplace requirements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Completed work is checked for compliance against the work plan and workplace requirements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Incidents or unplanned e</w:t>
            </w:r>
            <w:r w:rsidRPr="00AB7A0E">
              <w:t>vents are reported in accordance with workplace requirements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Work permits are signed off in accordance with workplace requirements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Work records, reports and documentation are completed, and appropriate per</w:t>
            </w:r>
            <w:r w:rsidRPr="00AB7A0E">
              <w:t>sonnel notified in accordance with workplace requirements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7" w:name="O_1236913"/>
      <w:bookmarkEnd w:id="7"/>
      <w:r w:rsidRPr="00AB7A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Foundation skills essential to performance are explicit in the performance criteria of this unit of competency.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8" w:name="O_1236914"/>
      <w:bookmarkEnd w:id="8"/>
      <w:r w:rsidRPr="00AB7A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Range is restricted to essential operating conditions and any other variables essential to the work environment.</w:t>
            </w:r>
          </w:p>
          <w:p w:rsidR="00000000" w:rsidRPr="00AB7A0E" w:rsidP="00AB7A0E">
            <w:pPr>
              <w:pStyle w:val="BodyText"/>
            </w:pPr>
            <w:r w:rsidRPr="00AB7A0E">
              <w:t>Non-essential conditions may be found in the UET Transmission, Distribution and Rail Sector Training Package Companion Volume Implementation Gu</w:t>
            </w:r>
            <w:r w:rsidRPr="00AB7A0E">
              <w:t>ide.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9" w:name="O_1236915"/>
      <w:bookmarkEnd w:id="9"/>
      <w:r w:rsidRPr="00AB7A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This unit replaces and is not equivalent to UETDRIS001 Coordinate and direct power system switching schedules.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10" w:name="O_1236922"/>
      <w:bookmarkEnd w:id="10"/>
      <w:r w:rsidRPr="00AB7A0E">
        <w:t>Links</w:t>
      </w:r>
    </w:p>
    <w:p w:rsidR="00000000" w:rsidRPr="00AB7A0E" w:rsidP="00BF6DA0">
      <w:pPr>
        <w:pStyle w:val="BodyText"/>
      </w:pPr>
      <w:r w:rsidRPr="00AB7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00E6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B7A0E" w:rsidP="00BF6DA0">
      <w:pPr>
        <w:pStyle w:val="BodyText"/>
        <w:sectPr w:rsidSect="00AB7A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7A0E" w:rsidP="00AB7A0E">
      <w:pPr>
        <w:pStyle w:val="SuperHeading"/>
      </w:pPr>
      <w:r w:rsidRPr="00AB7A0E">
        <w:t>Assessment Requirements for UETDRIS021 Coordinate and direct switching programs</w:t>
      </w:r>
    </w:p>
    <w:p w:rsidR="00000000" w:rsidRPr="00AB7A0E" w:rsidP="00AB7A0E">
      <w:pPr>
        <w:pStyle w:val="Heading1"/>
      </w:pPr>
      <w:bookmarkStart w:id="11" w:name="O_1236917"/>
      <w:bookmarkEnd w:id="11"/>
      <w:r w:rsidRPr="00AB7A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12" w:name="O_1236918"/>
      <w:bookmarkEnd w:id="12"/>
      <w:r w:rsidRPr="00AB7A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Evidence required to demonstrate competence in this unit must be r</w:t>
            </w:r>
            <w:r w:rsidRPr="00AB7A0E">
              <w:t>elevant to and satisfy all of the requirements of the elements and performance criteria on at least two (2) separate occasions and include: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ListBullet"/>
            </w:pPr>
            <w:r w:rsidRPr="00AB7A0E">
              <w:t>applying relevant legislation, regulations, standards, codes of practice and organisational workplace requirements</w:t>
            </w:r>
            <w:r w:rsidRPr="00AB7A0E">
              <w:t xml:space="preserve"> including:</w:t>
            </w:r>
          </w:p>
          <w:p w:rsidR="00000000" w:rsidRPr="00AB7A0E" w:rsidP="00AB7A0E">
            <w:pPr>
              <w:pStyle w:val="ListBullet2"/>
            </w:pPr>
            <w:r w:rsidRPr="00AB7A0E">
              <w:t>work health and safety (WHS)/occupational health and safety (OHS) requirements</w:t>
            </w:r>
          </w:p>
          <w:p w:rsidR="00000000" w:rsidRPr="00AB7A0E" w:rsidP="00AB7A0E">
            <w:pPr>
              <w:pStyle w:val="ListBullet"/>
            </w:pPr>
            <w:r w:rsidRPr="00AB7A0E">
              <w:t>identifying hazards, assessing risks, identifying, applying and monitoring control measures</w:t>
            </w:r>
          </w:p>
          <w:p w:rsidR="00000000" w:rsidRPr="00AB7A0E" w:rsidP="00AB7A0E">
            <w:pPr>
              <w:pStyle w:val="ListBullet"/>
            </w:pPr>
            <w:r w:rsidRPr="00AB7A0E">
              <w:t>dealing with an unplanned event on at least one (1) occasion</w:t>
            </w:r>
          </w:p>
          <w:p w:rsidR="00000000" w:rsidRPr="00AB7A0E" w:rsidP="00AB7A0E">
            <w:pPr>
              <w:pStyle w:val="ListBullet"/>
            </w:pPr>
            <w:r w:rsidRPr="00AB7A0E">
              <w:t>obtaining and signing work permits in accordance with workplace requirements</w:t>
            </w:r>
          </w:p>
          <w:p w:rsidR="00000000" w:rsidRPr="00AB7A0E" w:rsidP="00AB7A0E">
            <w:pPr>
              <w:pStyle w:val="ListBullet"/>
            </w:pPr>
            <w:r w:rsidRPr="00AB7A0E">
              <w:t>completing relevant work records, reports and documentation</w:t>
            </w:r>
          </w:p>
          <w:p w:rsidR="00000000" w:rsidRPr="00AB7A0E" w:rsidP="00AB7A0E">
            <w:pPr>
              <w:pStyle w:val="ListBullet"/>
            </w:pPr>
            <w:r w:rsidRPr="00AB7A0E">
              <w:t>demonstrating switching coordination and direction on at least one (1) occasion.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13" w:name="O_1236919"/>
      <w:bookmarkEnd w:id="13"/>
      <w:r w:rsidRPr="00AB7A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0E">
            <w:pPr>
              <w:pStyle w:val="BodyText"/>
              <w:rPr>
                <w:lang w:val="en-NZ"/>
              </w:rPr>
            </w:pPr>
            <w:r w:rsidRPr="00AB7A0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ListBullet"/>
            </w:pPr>
            <w:r w:rsidRPr="00AB7A0E">
              <w:t xml:space="preserve">relevant legislation, regulations, standards, codes of </w:t>
            </w:r>
            <w:r w:rsidRPr="00AB7A0E">
              <w:t>practice and organisational workplace requirements including WHS/OHS requirements</w:t>
            </w:r>
          </w:p>
          <w:p w:rsidR="00000000" w:rsidRPr="00AB7A0E" w:rsidP="00AB7A0E">
            <w:pPr>
              <w:pStyle w:val="ListBullet"/>
            </w:pPr>
            <w:r w:rsidRPr="00AB7A0E">
              <w:t>hazard, risk assessment and risk control requirements, including potential hazards</w:t>
            </w:r>
          </w:p>
          <w:p w:rsidR="00000000" w:rsidRPr="00AB7A0E" w:rsidP="00AB7A0E">
            <w:pPr>
              <w:pStyle w:val="ListBullet"/>
            </w:pPr>
            <w:r w:rsidRPr="00AB7A0E">
              <w:t>application, purpose and types of permits</w:t>
            </w:r>
          </w:p>
          <w:p w:rsidR="00000000" w:rsidRPr="00AB7A0E" w:rsidP="00AB7A0E">
            <w:pPr>
              <w:pStyle w:val="ListBullet"/>
            </w:pPr>
            <w:r w:rsidRPr="00AB7A0E">
              <w:t>events constituting an unplanned event or inciden</w:t>
            </w:r>
            <w:r w:rsidRPr="00AB7A0E">
              <w:t>t</w:t>
            </w:r>
          </w:p>
          <w:p w:rsidR="00000000" w:rsidRPr="00AB7A0E" w:rsidP="00AB7A0E">
            <w:pPr>
              <w:pStyle w:val="ListBullet"/>
            </w:pPr>
            <w:r w:rsidRPr="00AB7A0E">
              <w:t>procedures for responding to an unplanned event or incident</w:t>
            </w:r>
          </w:p>
          <w:p w:rsidR="00000000" w:rsidRPr="00AB7A0E" w:rsidP="00AB7A0E">
            <w:pPr>
              <w:pStyle w:val="ListBullet"/>
            </w:pPr>
            <w:r w:rsidRPr="00AB7A0E">
              <w:t>workplace records, reports and documentation maintenance</w:t>
            </w:r>
          </w:p>
          <w:p w:rsidR="00000000" w:rsidRPr="00AB7A0E" w:rsidP="00AB7A0E">
            <w:pPr>
              <w:pStyle w:val="ListBullet"/>
            </w:pPr>
            <w:r w:rsidRPr="00AB7A0E">
              <w:t>operational personnel requirements</w:t>
            </w:r>
          </w:p>
          <w:p w:rsidR="00000000" w:rsidRPr="00AB7A0E" w:rsidP="00AB7A0E">
            <w:pPr>
              <w:pStyle w:val="ListBullet"/>
            </w:pPr>
            <w:r w:rsidRPr="00AB7A0E">
              <w:t xml:space="preserve">switching programs </w:t>
            </w:r>
          </w:p>
          <w:p w:rsidR="00000000" w:rsidRPr="00AB7A0E" w:rsidP="00AB7A0E">
            <w:pPr>
              <w:pStyle w:val="ListBullet"/>
            </w:pPr>
            <w:r w:rsidRPr="00AB7A0E">
              <w:t>interconnected electrical networks</w:t>
            </w:r>
          </w:p>
          <w:p w:rsidR="00000000" w:rsidRPr="00AB7A0E" w:rsidP="00AB7A0E">
            <w:pPr>
              <w:pStyle w:val="ListBullet"/>
            </w:pPr>
            <w:r w:rsidRPr="00AB7A0E">
              <w:t>functions of supervisory control and data acquisition (SCADA) or equivalent system</w:t>
            </w:r>
          </w:p>
          <w:p w:rsidR="00000000" w:rsidRPr="00AB7A0E" w:rsidP="00AB7A0E">
            <w:pPr>
              <w:pStyle w:val="ListBullet"/>
            </w:pPr>
            <w:r w:rsidRPr="00AB7A0E">
              <w:t>electrical network switching principles, including:</w:t>
            </w:r>
          </w:p>
          <w:p w:rsidR="00000000" w:rsidRPr="00AB7A0E" w:rsidP="00AB7A0E">
            <w:pPr>
              <w:pStyle w:val="ListBullet2"/>
            </w:pPr>
            <w:r w:rsidRPr="00AB7A0E">
              <w:t>responding to alarms, indicators and trouble calls</w:t>
            </w:r>
          </w:p>
          <w:p w:rsidR="00000000" w:rsidRPr="00AB7A0E" w:rsidP="00AB7A0E">
            <w:pPr>
              <w:pStyle w:val="ListBullet2"/>
            </w:pPr>
            <w:r w:rsidRPr="00AB7A0E">
              <w:t>switching operator authorisation</w:t>
            </w:r>
          </w:p>
          <w:p w:rsidR="00000000" w:rsidRPr="00AB7A0E" w:rsidP="00AB7A0E">
            <w:pPr>
              <w:pStyle w:val="ListBullet2"/>
            </w:pPr>
            <w:r w:rsidRPr="00AB7A0E">
              <w:t xml:space="preserve">manuals, system diagrams, plans and </w:t>
            </w:r>
            <w:r w:rsidRPr="00AB7A0E">
              <w:t xml:space="preserve">drawings </w:t>
            </w:r>
          </w:p>
          <w:p w:rsidR="00000000" w:rsidRPr="00AB7A0E" w:rsidP="00AB7A0E">
            <w:pPr>
              <w:pStyle w:val="ListBullet2"/>
            </w:pPr>
            <w:r w:rsidRPr="00AB7A0E">
              <w:t>types, characteristics and capabilities of electrical apparatus</w:t>
            </w:r>
          </w:p>
          <w:p w:rsidR="00000000" w:rsidRPr="00AB7A0E" w:rsidP="00AB7A0E">
            <w:pPr>
              <w:pStyle w:val="ListBullet2"/>
            </w:pPr>
            <w:r w:rsidRPr="00AB7A0E">
              <w:t>sources of possible back-feed</w:t>
            </w:r>
          </w:p>
          <w:p w:rsidR="00000000" w:rsidRPr="00AB7A0E" w:rsidP="00AB7A0E">
            <w:pPr>
              <w:pStyle w:val="ListBullet2"/>
            </w:pPr>
            <w:r w:rsidRPr="00AB7A0E">
              <w:t>restrictions on electrical apparatus</w:t>
            </w:r>
          </w:p>
          <w:p w:rsidR="00000000" w:rsidRPr="00AB7A0E" w:rsidP="00AB7A0E">
            <w:pPr>
              <w:pStyle w:val="ListBullet2"/>
            </w:pPr>
            <w:r w:rsidRPr="00AB7A0E">
              <w:t xml:space="preserve">isolation procedures  </w:t>
            </w:r>
          </w:p>
          <w:p w:rsidR="00000000" w:rsidRPr="00AB7A0E" w:rsidP="00AB7A0E">
            <w:pPr>
              <w:pStyle w:val="ListBullet2"/>
            </w:pPr>
            <w:r w:rsidRPr="00AB7A0E">
              <w:t xml:space="preserve">earthing procedures  </w:t>
            </w:r>
          </w:p>
          <w:p w:rsidR="00000000" w:rsidRPr="00AB7A0E" w:rsidP="00AB7A0E">
            <w:pPr>
              <w:pStyle w:val="ListBullet2"/>
            </w:pPr>
            <w:r w:rsidRPr="00AB7A0E">
              <w:t>fault levels and settings</w:t>
            </w:r>
          </w:p>
          <w:p w:rsidR="00000000" w:rsidRPr="00AB7A0E" w:rsidP="00AB7A0E">
            <w:pPr>
              <w:pStyle w:val="ListBullet2"/>
            </w:pPr>
            <w:r w:rsidRPr="00AB7A0E">
              <w:t>load calculation</w:t>
            </w:r>
          </w:p>
          <w:p w:rsidR="00000000" w:rsidRPr="00AB7A0E" w:rsidP="00AB7A0E">
            <w:pPr>
              <w:pStyle w:val="ListBullet2"/>
            </w:pPr>
            <w:r w:rsidRPr="00AB7A0E">
              <w:t>operating agreements</w:t>
            </w:r>
          </w:p>
          <w:p w:rsidR="00000000" w:rsidRPr="00AB7A0E" w:rsidP="00AB7A0E">
            <w:pPr>
              <w:pStyle w:val="ListBullet2"/>
            </w:pPr>
            <w:r w:rsidRPr="00AB7A0E">
              <w:t>protection system principles</w:t>
            </w:r>
          </w:p>
          <w:p w:rsidR="00000000" w:rsidRPr="00AB7A0E" w:rsidP="00AB7A0E">
            <w:pPr>
              <w:pStyle w:val="ListBullet"/>
            </w:pPr>
            <w:r w:rsidRPr="00AB7A0E">
              <w:t>principles of:</w:t>
            </w:r>
          </w:p>
          <w:p w:rsidR="00000000" w:rsidRPr="00AB7A0E" w:rsidP="00AB7A0E">
            <w:pPr>
              <w:pStyle w:val="ListBullet2"/>
            </w:pPr>
            <w:r w:rsidRPr="00AB7A0E">
              <w:t>HV single wire earth return (SWER) system</w:t>
            </w:r>
          </w:p>
          <w:p w:rsidR="00000000" w:rsidRPr="00AB7A0E" w:rsidP="00AB7A0E">
            <w:pPr>
              <w:pStyle w:val="ListBullet2"/>
            </w:pPr>
            <w:r w:rsidRPr="00AB7A0E">
              <w:t>harmonics</w:t>
            </w:r>
          </w:p>
          <w:p w:rsidR="00000000" w:rsidRPr="00AB7A0E" w:rsidP="00AB7A0E">
            <w:pPr>
              <w:pStyle w:val="ListBullet2"/>
            </w:pPr>
            <w:r w:rsidRPr="00AB7A0E">
              <w:t xml:space="preserve">resonant networks </w:t>
            </w:r>
          </w:p>
          <w:p w:rsidR="00000000" w:rsidRPr="00AB7A0E" w:rsidP="00AB7A0E">
            <w:pPr>
              <w:pStyle w:val="ListBullet2"/>
            </w:pPr>
            <w:r w:rsidRPr="00AB7A0E">
              <w:t xml:space="preserve">feeder automation systems. 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14" w:name="O_1236920"/>
      <w:bookmarkEnd w:id="14"/>
      <w:r w:rsidRPr="00AB7A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0E" w:rsidP="00AB7A0E">
            <w:pPr>
              <w:pStyle w:val="BodyText"/>
            </w:pPr>
            <w:r w:rsidRPr="00AB7A0E">
              <w:t>Assessors must hold credentials specified within the Standards for Registered Training Organisations current at the time of assessment.</w:t>
            </w:r>
          </w:p>
          <w:p w:rsidR="00000000" w:rsidRPr="00AB7A0E" w:rsidP="00AB7A0E">
            <w:pPr>
              <w:pStyle w:val="BodyText"/>
            </w:pPr>
            <w:r w:rsidRPr="00AB7A0E">
              <w:t>Assessment must satisfy the Principles of Assessment and Rules of Evidence and all regulatory requirements included with</w:t>
            </w:r>
            <w:r w:rsidRPr="00AB7A0E">
              <w:t>in the Standards for Registered Training Organisations current at the time of assessment.</w:t>
            </w:r>
          </w:p>
          <w:p w:rsidR="00000000" w:rsidRPr="00AB7A0E" w:rsidP="00AB7A0E">
            <w:pPr>
              <w:pStyle w:val="BodyText"/>
            </w:pPr>
            <w:r w:rsidRPr="00AB7A0E">
              <w:t>Assessment must occur in workplace operational situations where it is appropriate to do so.</w:t>
            </w:r>
          </w:p>
          <w:p w:rsidR="00000000" w:rsidRPr="00AB7A0E" w:rsidP="00AB7A0E">
            <w:pPr>
              <w:pStyle w:val="BodyText"/>
            </w:pPr>
            <w:r w:rsidRPr="00AB7A0E">
              <w:t>Where this is not appropriate, assessment must occur in simulated conditio</w:t>
            </w:r>
            <w:r w:rsidRPr="00AB7A0E">
              <w:t>ns involving realistic and authentic activities that replicate operational workplace conditions.</w:t>
            </w:r>
          </w:p>
          <w:p w:rsidR="00000000" w:rsidRPr="00AB7A0E" w:rsidP="00AB7A0E">
            <w:pPr>
              <w:pStyle w:val="BodyText"/>
            </w:pPr>
            <w:r w:rsidRPr="00AB7A0E">
              <w:t>Assessment processes and techniques must be appropriate to the language, literacy and numeracy requirements of the work being performed and the needs of the ca</w:t>
            </w:r>
            <w:r w:rsidRPr="00AB7A0E">
              <w:t>ndidate.</w:t>
            </w:r>
          </w:p>
          <w:p w:rsidR="00000000" w:rsidRPr="00AB7A0E" w:rsidP="00AB7A0E">
            <w:pPr>
              <w:pStyle w:val="BodyText"/>
            </w:pPr>
            <w:r w:rsidRPr="00AB7A0E">
              <w:t>Resources for assessment must include access to:</w:t>
            </w:r>
          </w:p>
          <w:p w:rsidR="00000000" w:rsidRPr="00AB7A0E" w:rsidP="00AB7A0E">
            <w:pPr>
              <w:pStyle w:val="ListBullet"/>
            </w:pPr>
            <w:r w:rsidRPr="00AB7A0E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AB7A0E" w:rsidP="00AB7A0E">
      <w:pPr>
        <w:pStyle w:val="NoPaddingFontSize1"/>
      </w:pPr>
    </w:p>
    <w:p w:rsidR="00000000" w:rsidRPr="00AB7A0E" w:rsidP="00AB7A0E">
      <w:pPr>
        <w:pStyle w:val="AllowPageBreak"/>
      </w:pPr>
    </w:p>
    <w:p w:rsidR="00000000" w:rsidRPr="00AB7A0E" w:rsidP="00AB7A0E">
      <w:pPr>
        <w:pStyle w:val="Heading1"/>
      </w:pPr>
      <w:bookmarkStart w:id="15" w:name="O_1236923"/>
      <w:bookmarkEnd w:id="15"/>
      <w:r w:rsidRPr="00AB7A0E">
        <w:t>Links</w:t>
      </w:r>
    </w:p>
    <w:p w:rsidR="00000000" w:rsidRPr="00AB7A0E" w:rsidP="00BF6DA0">
      <w:pPr>
        <w:pStyle w:val="BodyText"/>
      </w:pPr>
      <w:r w:rsidRPr="00AB7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00E6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B7A0E" w:rsidP="00AB7A0E"/>
    <w:sectPr w:rsidSect="00AB7A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0E" w:rsidRPr="00BF6DA0" w:rsidP="00BF6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A0" w:rsidP="00AB7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DA0" w:rsidP="00AB7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F6DA0" w:rsidP="00AB7A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0E" w:rsidP="00AB7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6DA0">
      <w:t>Approved</w:t>
    </w:r>
    <w:r w:rsidR="00BF6D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6D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6DA0">
      <w:rPr>
        <w:noProof/>
      </w:rPr>
      <w:t>4</w:t>
    </w:r>
    <w:r>
      <w:rPr>
        <w:noProof/>
      </w:rPr>
      <w:fldChar w:fldCharType="end"/>
    </w:r>
  </w:p>
  <w:p w:rsidR="00AB7A0E" w:rsidP="00AB7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6D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6DA0">
      <w:t>Powering Skills Organisation</w:t>
    </w:r>
    <w:r w:rsidR="00BF6DA0">
      <w:fldChar w:fldCharType="end"/>
    </w:r>
  </w:p>
  <w:p w:rsidR="00AB7A0E" w:rsidP="00AB7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A0E" w:rsidRPr="00BF6DA0" w:rsidP="00BF6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A0" w:rsidRPr="002D2AF8" w:rsidP="00AB7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UETDRIS021 Coordinate and direct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6DA0" w:rsidP="00AB7A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0E" w:rsidRPr="002D2AF8" w:rsidP="00AB7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6DA0">
      <w:t>UETDRIS021 Coordinate and direct switching programs</w:t>
    </w:r>
    <w:r w:rsidR="00BF6D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6DA0">
      <w:rPr>
        <w:noProof/>
      </w:rPr>
      <w:t>2 March 2025</w:t>
    </w:r>
    <w:r>
      <w:fldChar w:fldCharType="end"/>
    </w:r>
  </w:p>
  <w:p w:rsidR="00AB7A0E" w:rsidP="00AB7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705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CAB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366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A0E"/>
  </w:style>
  <w:style w:type="character" w:customStyle="1" w:styleId="Heading1Char">
    <w:name w:val="Heading 1 Char"/>
    <w:basedOn w:val="DefaultParagraphFont"/>
    <w:link w:val="Heading1"/>
    <w:rsid w:val="00AB7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A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A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A0E"/>
    <w:rPr>
      <w:b/>
      <w:spacing w:val="0"/>
    </w:rPr>
  </w:style>
  <w:style w:type="paragraph" w:styleId="ListBullet2">
    <w:name w:val="List Bullet 2"/>
    <w:basedOn w:val="List2"/>
    <w:rsid w:val="00AB7A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7A0E"/>
    <w:rPr>
      <w:i/>
    </w:rPr>
  </w:style>
  <w:style w:type="paragraph" w:customStyle="1" w:styleId="SuperHeading">
    <w:name w:val="SuperHeading"/>
    <w:basedOn w:val="Normal"/>
    <w:rsid w:val="00AB7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7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A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A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A0E"/>
  </w:style>
  <w:style w:type="paragraph" w:styleId="TableofFigures">
    <w:name w:val="table of figures"/>
    <w:basedOn w:val="Normal"/>
    <w:next w:val="Normal"/>
    <w:semiHidden/>
    <w:rsid w:val="00AB7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A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7A0E"/>
    <w:rPr>
      <w:rFonts w:ascii="Wingdings" w:hAnsi="Wingdings"/>
    </w:rPr>
  </w:style>
  <w:style w:type="paragraph" w:customStyle="1" w:styleId="TableHeading">
    <w:name w:val="Table Heading"/>
    <w:basedOn w:val="HeadingBase"/>
    <w:rsid w:val="00AB7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A0E"/>
    <w:rPr>
      <w:color w:val="0033CC"/>
      <w:u w:val="none"/>
    </w:rPr>
  </w:style>
  <w:style w:type="paragraph" w:customStyle="1" w:styleId="BodyTextRight">
    <w:name w:val="Body Text Right"/>
    <w:basedOn w:val="BodyText"/>
    <w:rsid w:val="00AB7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A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A0E"/>
    <w:rPr>
      <w:sz w:val="32"/>
    </w:rPr>
  </w:style>
  <w:style w:type="paragraph" w:customStyle="1" w:styleId="HeadingProcedure">
    <w:name w:val="Heading Procedure"/>
    <w:basedOn w:val="HeadingBase"/>
    <w:next w:val="Normal"/>
    <w:rsid w:val="00AB7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A0E"/>
    <w:pPr>
      <w:spacing w:before="60" w:after="60"/>
    </w:pPr>
  </w:style>
  <w:style w:type="paragraph" w:styleId="ListContinue">
    <w:name w:val="List Continue"/>
    <w:basedOn w:val="List"/>
    <w:rsid w:val="00AB7A0E"/>
    <w:pPr>
      <w:ind w:firstLine="0"/>
    </w:pPr>
  </w:style>
  <w:style w:type="paragraph" w:customStyle="1" w:styleId="ListNote">
    <w:name w:val="List Note"/>
    <w:basedOn w:val="List"/>
    <w:rsid w:val="00AB7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A0E"/>
    <w:rPr>
      <w:rFonts w:ascii="Courier New" w:hAnsi="Courier New"/>
    </w:rPr>
  </w:style>
  <w:style w:type="paragraph" w:customStyle="1" w:styleId="NoteBullet">
    <w:name w:val="Note Bullet"/>
    <w:basedOn w:val="Note"/>
    <w:rsid w:val="00AB7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A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7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A0E"/>
    <w:rPr>
      <w:b/>
      <w:smallCaps/>
    </w:rPr>
  </w:style>
  <w:style w:type="paragraph" w:customStyle="1" w:styleId="TableListNumber">
    <w:name w:val="Table List Number"/>
    <w:basedOn w:val="ListNumber"/>
    <w:rsid w:val="00AB7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A0E"/>
    <w:pPr>
      <w:numPr>
        <w:numId w:val="9"/>
      </w:numPr>
    </w:pPr>
  </w:style>
  <w:style w:type="paragraph" w:customStyle="1" w:styleId="ListAlpha2">
    <w:name w:val="List Alpha 2"/>
    <w:basedOn w:val="List2"/>
    <w:rsid w:val="00AB7A0E"/>
    <w:pPr>
      <w:numPr>
        <w:numId w:val="8"/>
      </w:numPr>
    </w:pPr>
  </w:style>
  <w:style w:type="paragraph" w:styleId="List2">
    <w:name w:val="List 2"/>
    <w:basedOn w:val="BodyText"/>
    <w:rsid w:val="00AB7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A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A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7A0E"/>
    <w:pPr>
      <w:numPr>
        <w:numId w:val="4"/>
      </w:numPr>
    </w:pPr>
  </w:style>
  <w:style w:type="paragraph" w:styleId="ListContinue2">
    <w:name w:val="List Continue 2"/>
    <w:basedOn w:val="List2"/>
    <w:rsid w:val="00AB7A0E"/>
    <w:pPr>
      <w:ind w:firstLine="0"/>
    </w:pPr>
  </w:style>
  <w:style w:type="paragraph" w:styleId="ListContinue3">
    <w:name w:val="List Continue 3"/>
    <w:basedOn w:val="List3"/>
    <w:rsid w:val="00AB7A0E"/>
    <w:pPr>
      <w:ind w:left="1021" w:firstLine="0"/>
    </w:pPr>
  </w:style>
  <w:style w:type="paragraph" w:styleId="ListContinue4">
    <w:name w:val="List Continue 4"/>
    <w:basedOn w:val="List4"/>
    <w:rsid w:val="00AB7A0E"/>
    <w:pPr>
      <w:ind w:firstLine="0"/>
    </w:pPr>
  </w:style>
  <w:style w:type="paragraph" w:styleId="ListContinue5">
    <w:name w:val="List Continue 5"/>
    <w:basedOn w:val="List5"/>
    <w:rsid w:val="00AB7A0E"/>
    <w:pPr>
      <w:ind w:firstLine="0"/>
    </w:pPr>
  </w:style>
  <w:style w:type="paragraph" w:styleId="ListNumber3">
    <w:name w:val="List Number 3"/>
    <w:basedOn w:val="List3"/>
    <w:rsid w:val="00AB7A0E"/>
    <w:pPr>
      <w:numPr>
        <w:numId w:val="5"/>
      </w:numPr>
    </w:pPr>
  </w:style>
  <w:style w:type="paragraph" w:styleId="ListNumber4">
    <w:name w:val="List Number 4"/>
    <w:basedOn w:val="List4"/>
    <w:rsid w:val="00AB7A0E"/>
    <w:pPr>
      <w:numPr>
        <w:numId w:val="6"/>
      </w:numPr>
    </w:pPr>
  </w:style>
  <w:style w:type="paragraph" w:styleId="ListNumber5">
    <w:name w:val="List Number 5"/>
    <w:basedOn w:val="List5"/>
    <w:rsid w:val="00AB7A0E"/>
    <w:pPr>
      <w:numPr>
        <w:numId w:val="7"/>
      </w:numPr>
    </w:pPr>
  </w:style>
  <w:style w:type="paragraph" w:styleId="BlockText">
    <w:name w:val="Block Text"/>
    <w:basedOn w:val="Normal"/>
    <w:rsid w:val="00AB7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A0E"/>
    <w:rPr>
      <w:sz w:val="16"/>
      <w:vertAlign w:val="superscript"/>
    </w:rPr>
  </w:style>
  <w:style w:type="character" w:customStyle="1" w:styleId="Symbols">
    <w:name w:val="Symbols"/>
    <w:basedOn w:val="DefaultParagraphFont"/>
    <w:rsid w:val="00AB7A0E"/>
    <w:rPr>
      <w:rFonts w:ascii="Symbol" w:hAnsi="Symbol"/>
    </w:rPr>
  </w:style>
  <w:style w:type="character" w:customStyle="1" w:styleId="MenuOptions">
    <w:name w:val="Menu Options"/>
    <w:basedOn w:val="DefaultParagraphFont"/>
    <w:rsid w:val="00AB7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A0E"/>
    <w:rPr>
      <w:b/>
    </w:rPr>
  </w:style>
  <w:style w:type="character" w:customStyle="1" w:styleId="Underlined">
    <w:name w:val="Underlined"/>
    <w:basedOn w:val="DefaultParagraphFont"/>
    <w:rsid w:val="00AB7A0E"/>
    <w:rPr>
      <w:u w:val="single"/>
    </w:rPr>
  </w:style>
  <w:style w:type="paragraph" w:customStyle="1" w:styleId="TableBodyTextRight">
    <w:name w:val="Table Body Text Right"/>
    <w:basedOn w:val="TableBodyText"/>
    <w:rsid w:val="00AB7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A0E"/>
    <w:rPr>
      <w:sz w:val="18"/>
    </w:rPr>
  </w:style>
  <w:style w:type="paragraph" w:customStyle="1" w:styleId="BodySmallRight">
    <w:name w:val="Body Small Right"/>
    <w:basedOn w:val="BodyTextRight"/>
    <w:rsid w:val="00AB7A0E"/>
    <w:rPr>
      <w:sz w:val="18"/>
      <w:szCs w:val="18"/>
    </w:rPr>
  </w:style>
  <w:style w:type="paragraph" w:customStyle="1" w:styleId="MarginEdition">
    <w:name w:val="Margin Edition"/>
    <w:basedOn w:val="MarginNote"/>
    <w:rsid w:val="00AB7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A0E"/>
    <w:rPr>
      <w:sz w:val="2"/>
      <w:szCs w:val="2"/>
    </w:rPr>
  </w:style>
  <w:style w:type="character" w:customStyle="1" w:styleId="Small">
    <w:name w:val="Small"/>
    <w:basedOn w:val="DefaultParagraphFont"/>
    <w:rsid w:val="00AB7A0E"/>
    <w:rPr>
      <w:sz w:val="16"/>
    </w:rPr>
  </w:style>
  <w:style w:type="paragraph" w:customStyle="1" w:styleId="WideTable">
    <w:name w:val="Wide Table"/>
    <w:basedOn w:val="Normal"/>
    <w:rsid w:val="00AB7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A0E"/>
  </w:style>
  <w:style w:type="paragraph" w:styleId="Quote">
    <w:name w:val="Quote"/>
    <w:basedOn w:val="Heading1"/>
    <w:link w:val="QuoteChar"/>
    <w:qFormat/>
    <w:rsid w:val="00AB7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A0E"/>
    <w:pPr>
      <w:pageBreakBefore/>
    </w:pPr>
  </w:style>
  <w:style w:type="paragraph" w:customStyle="1" w:styleId="Border">
    <w:name w:val="Border"/>
    <w:basedOn w:val="Normal"/>
    <w:qFormat/>
    <w:rsid w:val="00AB7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A0E"/>
    <w:rPr>
      <w:u w:val="single"/>
    </w:rPr>
  </w:style>
  <w:style w:type="character" w:customStyle="1" w:styleId="BoldandItalics">
    <w:name w:val="Bold and Italics"/>
    <w:qFormat/>
    <w:rsid w:val="00AB7A0E"/>
    <w:rPr>
      <w:b/>
      <w:i/>
      <w:u w:val="none"/>
    </w:rPr>
  </w:style>
  <w:style w:type="paragraph" w:styleId="BalloonText">
    <w:name w:val="Balloon Text"/>
    <w:basedOn w:val="Normal"/>
    <w:link w:val="BalloonTextChar"/>
    <w:rsid w:val="00AB7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A0E"/>
    <w:pPr>
      <w:spacing w:before="0" w:after="0"/>
    </w:pPr>
  </w:style>
  <w:style w:type="paragraph" w:customStyle="1" w:styleId="BodyTextBold">
    <w:name w:val="Body Text Bold"/>
    <w:basedOn w:val="BodyText"/>
    <w:qFormat/>
    <w:rsid w:val="00AB7A0E"/>
    <w:rPr>
      <w:b/>
    </w:rPr>
  </w:style>
  <w:style w:type="character" w:styleId="Hyperlink">
    <w:name w:val="Hyperlink"/>
    <w:basedOn w:val="DefaultParagraphFont"/>
    <w:uiPriority w:val="99"/>
    <w:unhideWhenUsed/>
    <w:rsid w:val="00BF6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7293</Characters>
  <Application>Microsoft Office Word</Application>
  <DocSecurity>0</DocSecurity>
  <Lines>260</Lines>
  <Paragraphs>155</Paragraphs>
  <ScaleCrop>false</ScaleCrop>
  <Company>Author-it Software Corporation Ltd.</Company>
  <LinksUpToDate>false</LinksUpToDate>
  <CharactersWithSpaces>8244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UETDRIS021 Coordinate and direct switching programs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2025-03-01T20:58:00Z</dcterms:created>
  <dcterms:modified xsi:type="dcterms:W3CDTF">2025-03-01T20:58:00Z</dcterms:modified>
</cp:coreProperties>
</file>