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224F" w:rsidP="003122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UETDRIS021 Coordinate and direct switching programs</w:t>
      </w:r>
      <w:r>
        <w:fldChar w:fldCharType="end"/>
      </w:r>
    </w:p>
    <w:p w:rsidR="0031224F" w:rsidP="0031224F">
      <w:pPr>
        <w:pStyle w:val="Version"/>
        <w:sectPr w:rsidSect="00CB71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716A" w:rsidP="00CB716A">
      <w:pPr>
        <w:pStyle w:val="SuperHeading"/>
      </w:pPr>
      <w:r w:rsidRPr="00CB716A">
        <w:t>Assessment Requirements for UETDRIS021 Coordinate and direct switching programs</w:t>
      </w:r>
    </w:p>
    <w:p w:rsidR="00000000" w:rsidRPr="00CB716A" w:rsidP="00CB716A">
      <w:pPr>
        <w:pStyle w:val="Heading1"/>
      </w:pPr>
      <w:bookmarkStart w:id="1" w:name="O_1236917"/>
      <w:bookmarkEnd w:id="1"/>
      <w:r w:rsidRPr="00CB716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71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16A" w:rsidP="00CB716A">
            <w:pPr>
              <w:pStyle w:val="BodyText"/>
            </w:pPr>
            <w:r w:rsidRPr="00CB716A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CB716A" w:rsidP="00CB716A">
      <w:pPr>
        <w:pStyle w:val="NoPaddingFontSize1"/>
      </w:pPr>
    </w:p>
    <w:p w:rsidR="00000000" w:rsidRPr="00CB716A" w:rsidP="00CB716A">
      <w:pPr>
        <w:pStyle w:val="AllowPageBreak"/>
      </w:pPr>
    </w:p>
    <w:p w:rsidR="00000000" w:rsidRPr="00CB716A" w:rsidP="00CB716A">
      <w:pPr>
        <w:pStyle w:val="Heading1"/>
      </w:pPr>
      <w:bookmarkStart w:id="2" w:name="O_1236918"/>
      <w:bookmarkEnd w:id="2"/>
      <w:r w:rsidRPr="00CB716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71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16A">
            <w:pPr>
              <w:pStyle w:val="BodyText"/>
              <w:rPr>
                <w:lang w:val="en-NZ"/>
              </w:rPr>
            </w:pPr>
            <w:r w:rsidRPr="00CB716A">
              <w:t>Evidence required to demonstrate competence in this unit must be r</w:t>
            </w:r>
            <w:r w:rsidRPr="00CB716A">
              <w:t>elevant to and satisfy all of the requirements of the elements and performance criteria on at least two (2) separate occasions and include:</w:t>
            </w:r>
          </w:p>
        </w:tc>
      </w:tr>
      <w:tr w:rsidTr="00CB71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16A" w:rsidP="00CB716A">
            <w:pPr>
              <w:pStyle w:val="ListBullet"/>
            </w:pPr>
            <w:r w:rsidRPr="00CB716A">
              <w:t>applying relevant legislation, regulations, standards, codes of practice and organisational workplace requirements</w:t>
            </w:r>
            <w:r w:rsidRPr="00CB716A">
              <w:t xml:space="preserve"> including:</w:t>
            </w:r>
          </w:p>
          <w:p w:rsidR="00000000" w:rsidRPr="00CB716A" w:rsidP="00CB716A">
            <w:pPr>
              <w:pStyle w:val="ListBullet2"/>
            </w:pPr>
            <w:r w:rsidRPr="00CB716A">
              <w:t>work health and safety (WHS)/occupational health and safety (OHS) requirements</w:t>
            </w:r>
          </w:p>
          <w:p w:rsidR="00000000" w:rsidRPr="00CB716A" w:rsidP="00CB716A">
            <w:pPr>
              <w:pStyle w:val="ListBullet"/>
            </w:pPr>
            <w:r w:rsidRPr="00CB716A">
              <w:t>identifying hazards, assessing risks, identifying, applying and monitoring control measures</w:t>
            </w:r>
          </w:p>
          <w:p w:rsidR="00000000" w:rsidRPr="00CB716A" w:rsidP="00CB716A">
            <w:pPr>
              <w:pStyle w:val="ListBullet"/>
            </w:pPr>
            <w:r w:rsidRPr="00CB716A">
              <w:t>dealing with an unplanned event on at least one (1) occasion</w:t>
            </w:r>
          </w:p>
          <w:p w:rsidR="00000000" w:rsidRPr="00CB716A" w:rsidP="00CB716A">
            <w:pPr>
              <w:pStyle w:val="ListBullet"/>
            </w:pPr>
            <w:r w:rsidRPr="00CB716A">
              <w:t>obtaining and signing work permits in accordance with workplace requirements</w:t>
            </w:r>
          </w:p>
          <w:p w:rsidR="00000000" w:rsidRPr="00CB716A" w:rsidP="00CB716A">
            <w:pPr>
              <w:pStyle w:val="ListBullet"/>
            </w:pPr>
            <w:r w:rsidRPr="00CB716A">
              <w:t>completing relevant work records, reports and documentation</w:t>
            </w:r>
          </w:p>
          <w:p w:rsidR="00000000" w:rsidRPr="00CB716A" w:rsidP="00CB716A">
            <w:pPr>
              <w:pStyle w:val="ListBullet"/>
            </w:pPr>
            <w:r w:rsidRPr="00CB716A">
              <w:t>demonstrating switching coordination and direction on at least one (1) occasion.</w:t>
            </w:r>
          </w:p>
        </w:tc>
      </w:tr>
    </w:tbl>
    <w:p w:rsidR="00000000" w:rsidRPr="00CB716A" w:rsidP="00CB716A">
      <w:pPr>
        <w:pStyle w:val="NoPaddingFontSize1"/>
      </w:pPr>
    </w:p>
    <w:p w:rsidR="00000000" w:rsidRPr="00CB716A" w:rsidP="00CB716A">
      <w:pPr>
        <w:pStyle w:val="AllowPageBreak"/>
      </w:pPr>
    </w:p>
    <w:p w:rsidR="00000000" w:rsidRPr="00CB716A" w:rsidP="00CB716A">
      <w:pPr>
        <w:pStyle w:val="Heading1"/>
      </w:pPr>
      <w:bookmarkStart w:id="3" w:name="O_1236919"/>
      <w:bookmarkEnd w:id="3"/>
      <w:r w:rsidRPr="00CB716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71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16A">
            <w:pPr>
              <w:pStyle w:val="BodyText"/>
              <w:rPr>
                <w:lang w:val="en-NZ"/>
              </w:rPr>
            </w:pPr>
            <w:r w:rsidRPr="00CB716A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CB71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16A" w:rsidP="00CB716A">
            <w:pPr>
              <w:pStyle w:val="ListBullet"/>
            </w:pPr>
            <w:r w:rsidRPr="00CB716A">
              <w:t xml:space="preserve">relevant legislation, regulations, standards, codes of </w:t>
            </w:r>
            <w:r w:rsidRPr="00CB716A">
              <w:t>practice and organisational workplace requirements including WHS/OHS requirements</w:t>
            </w:r>
          </w:p>
          <w:p w:rsidR="00000000" w:rsidRPr="00CB716A" w:rsidP="00CB716A">
            <w:pPr>
              <w:pStyle w:val="ListBullet"/>
            </w:pPr>
            <w:r w:rsidRPr="00CB716A">
              <w:t>hazard, risk assessment and risk control requirements, including potential hazards</w:t>
            </w:r>
          </w:p>
          <w:p w:rsidR="00000000" w:rsidRPr="00CB716A" w:rsidP="00CB716A">
            <w:pPr>
              <w:pStyle w:val="ListBullet"/>
            </w:pPr>
            <w:r w:rsidRPr="00CB716A">
              <w:t>application, purpose and types of permits</w:t>
            </w:r>
          </w:p>
          <w:p w:rsidR="00000000" w:rsidRPr="00CB716A" w:rsidP="00CB716A">
            <w:pPr>
              <w:pStyle w:val="ListBullet"/>
            </w:pPr>
            <w:r w:rsidRPr="00CB716A">
              <w:t>events constituting an unplanned event or inciden</w:t>
            </w:r>
            <w:r w:rsidRPr="00CB716A">
              <w:t>t</w:t>
            </w:r>
          </w:p>
          <w:p w:rsidR="00000000" w:rsidRPr="00CB716A" w:rsidP="00CB716A">
            <w:pPr>
              <w:pStyle w:val="ListBullet"/>
            </w:pPr>
            <w:r w:rsidRPr="00CB716A">
              <w:t>procedures for responding to an unplanned event or incident</w:t>
            </w:r>
          </w:p>
          <w:p w:rsidR="00000000" w:rsidRPr="00CB716A" w:rsidP="00CB716A">
            <w:pPr>
              <w:pStyle w:val="ListBullet"/>
            </w:pPr>
            <w:r w:rsidRPr="00CB716A">
              <w:t>workplace records, reports and documentation maintenance</w:t>
            </w:r>
          </w:p>
          <w:p w:rsidR="00000000" w:rsidRPr="00CB716A" w:rsidP="00CB716A">
            <w:pPr>
              <w:pStyle w:val="ListBullet"/>
            </w:pPr>
            <w:r w:rsidRPr="00CB716A">
              <w:t>operational personnel requirements</w:t>
            </w:r>
          </w:p>
          <w:p w:rsidR="00000000" w:rsidRPr="00CB716A" w:rsidP="00CB716A">
            <w:pPr>
              <w:pStyle w:val="ListBullet"/>
            </w:pPr>
            <w:r w:rsidRPr="00CB716A">
              <w:t xml:space="preserve">switching programs </w:t>
            </w:r>
          </w:p>
          <w:p w:rsidR="00000000" w:rsidRPr="00CB716A" w:rsidP="00CB716A">
            <w:pPr>
              <w:pStyle w:val="ListBullet"/>
            </w:pPr>
            <w:r w:rsidRPr="00CB716A">
              <w:t>interconnected electrical networks</w:t>
            </w:r>
          </w:p>
          <w:p w:rsidR="00000000" w:rsidRPr="00CB716A" w:rsidP="00CB716A">
            <w:pPr>
              <w:pStyle w:val="ListBullet"/>
            </w:pPr>
            <w:r w:rsidRPr="00CB716A">
              <w:t>functions of supervisory control and data acqui</w:t>
            </w:r>
            <w:r w:rsidRPr="00CB716A">
              <w:t>sition (SCADA) or equivalent system</w:t>
            </w:r>
          </w:p>
          <w:p w:rsidR="00000000" w:rsidRPr="00CB716A" w:rsidP="00CB716A">
            <w:pPr>
              <w:pStyle w:val="ListBullet"/>
            </w:pPr>
            <w:r w:rsidRPr="00CB716A">
              <w:t>electrical network switching principles, including:</w:t>
            </w:r>
          </w:p>
          <w:p w:rsidR="00000000" w:rsidRPr="00CB716A" w:rsidP="00CB716A">
            <w:pPr>
              <w:pStyle w:val="ListBullet2"/>
            </w:pPr>
            <w:r w:rsidRPr="00CB716A">
              <w:t>responding to alarms, indicators and trouble calls</w:t>
            </w:r>
          </w:p>
          <w:p w:rsidR="00000000" w:rsidRPr="00CB716A" w:rsidP="00CB716A">
            <w:pPr>
              <w:pStyle w:val="ListBullet2"/>
            </w:pPr>
            <w:r w:rsidRPr="00CB716A">
              <w:t>switching operator authorisation</w:t>
            </w:r>
          </w:p>
          <w:p w:rsidR="00000000" w:rsidRPr="00CB716A" w:rsidP="00CB716A">
            <w:pPr>
              <w:pStyle w:val="ListBullet2"/>
            </w:pPr>
            <w:r w:rsidRPr="00CB716A">
              <w:t xml:space="preserve">manuals, system diagrams, plans and drawings </w:t>
            </w:r>
          </w:p>
          <w:p w:rsidR="00000000" w:rsidRPr="00CB716A" w:rsidP="00CB716A">
            <w:pPr>
              <w:pStyle w:val="ListBullet2"/>
            </w:pPr>
            <w:r w:rsidRPr="00CB716A">
              <w:t>types, characteristics and capabilities of electrical apparatus</w:t>
            </w:r>
          </w:p>
          <w:p w:rsidR="00000000" w:rsidRPr="00CB716A" w:rsidP="00CB716A">
            <w:pPr>
              <w:pStyle w:val="ListBullet2"/>
            </w:pPr>
            <w:r w:rsidRPr="00CB716A">
              <w:t>sources of possible back-feed</w:t>
            </w:r>
          </w:p>
          <w:p w:rsidR="00000000" w:rsidRPr="00CB716A" w:rsidP="00CB716A">
            <w:pPr>
              <w:pStyle w:val="ListBullet2"/>
            </w:pPr>
            <w:r w:rsidRPr="00CB716A">
              <w:t>restrictions on electrical apparatus</w:t>
            </w:r>
          </w:p>
          <w:p w:rsidR="00000000" w:rsidRPr="00CB716A" w:rsidP="00CB716A">
            <w:pPr>
              <w:pStyle w:val="ListBullet2"/>
            </w:pPr>
            <w:r w:rsidRPr="00CB716A">
              <w:t xml:space="preserve">isolation procedures  </w:t>
            </w:r>
          </w:p>
          <w:p w:rsidR="00000000" w:rsidRPr="00CB716A" w:rsidP="00CB716A">
            <w:pPr>
              <w:pStyle w:val="ListBullet2"/>
            </w:pPr>
            <w:r w:rsidRPr="00CB716A">
              <w:t xml:space="preserve">earthing procedures  </w:t>
            </w:r>
          </w:p>
          <w:p w:rsidR="00000000" w:rsidRPr="00CB716A" w:rsidP="00CB716A">
            <w:pPr>
              <w:pStyle w:val="ListBullet2"/>
            </w:pPr>
            <w:r w:rsidRPr="00CB716A">
              <w:t>fault levels and settings</w:t>
            </w:r>
          </w:p>
          <w:p w:rsidR="00000000" w:rsidRPr="00CB716A" w:rsidP="00CB716A">
            <w:pPr>
              <w:pStyle w:val="ListBullet2"/>
            </w:pPr>
            <w:r w:rsidRPr="00CB716A">
              <w:t>load calculation</w:t>
            </w:r>
          </w:p>
          <w:p w:rsidR="00000000" w:rsidRPr="00CB716A" w:rsidP="00CB716A">
            <w:pPr>
              <w:pStyle w:val="ListBullet2"/>
            </w:pPr>
            <w:r w:rsidRPr="00CB716A">
              <w:t>operating agreements</w:t>
            </w:r>
          </w:p>
          <w:p w:rsidR="00000000" w:rsidRPr="00CB716A" w:rsidP="00CB716A">
            <w:pPr>
              <w:pStyle w:val="ListBullet2"/>
            </w:pPr>
            <w:r w:rsidRPr="00CB716A">
              <w:t>protection syste</w:t>
            </w:r>
            <w:r w:rsidRPr="00CB716A">
              <w:t>m principles</w:t>
            </w:r>
          </w:p>
          <w:p w:rsidR="00000000" w:rsidRPr="00CB716A" w:rsidP="00CB716A">
            <w:pPr>
              <w:pStyle w:val="ListBullet"/>
            </w:pPr>
            <w:r w:rsidRPr="00CB716A">
              <w:t>principles of:</w:t>
            </w:r>
          </w:p>
          <w:p w:rsidR="00000000" w:rsidRPr="00CB716A" w:rsidP="00CB716A">
            <w:pPr>
              <w:pStyle w:val="ListBullet2"/>
            </w:pPr>
            <w:r w:rsidRPr="00CB716A">
              <w:t>HV single wire earth return (SWER) system</w:t>
            </w:r>
          </w:p>
          <w:p w:rsidR="00000000" w:rsidRPr="00CB716A" w:rsidP="00CB716A">
            <w:pPr>
              <w:pStyle w:val="ListBullet2"/>
            </w:pPr>
            <w:r w:rsidRPr="00CB716A">
              <w:t>harmonics</w:t>
            </w:r>
          </w:p>
          <w:p w:rsidR="00000000" w:rsidRPr="00CB716A" w:rsidP="00CB716A">
            <w:pPr>
              <w:pStyle w:val="ListBullet2"/>
            </w:pPr>
            <w:r w:rsidRPr="00CB716A">
              <w:t xml:space="preserve">resonant networks </w:t>
            </w:r>
          </w:p>
          <w:p w:rsidR="00000000" w:rsidRPr="00CB716A" w:rsidP="00CB716A">
            <w:pPr>
              <w:pStyle w:val="ListBullet2"/>
            </w:pPr>
            <w:r w:rsidRPr="00CB716A">
              <w:t xml:space="preserve">feeder automation systems. </w:t>
            </w:r>
          </w:p>
        </w:tc>
      </w:tr>
    </w:tbl>
    <w:p w:rsidR="00000000" w:rsidRPr="00CB716A" w:rsidP="00CB716A">
      <w:pPr>
        <w:pStyle w:val="NoPaddingFontSize1"/>
      </w:pPr>
    </w:p>
    <w:p w:rsidR="00000000" w:rsidRPr="00CB716A" w:rsidP="00CB716A">
      <w:pPr>
        <w:pStyle w:val="AllowPageBreak"/>
      </w:pPr>
    </w:p>
    <w:p w:rsidR="00000000" w:rsidRPr="00CB716A" w:rsidP="00CB716A">
      <w:pPr>
        <w:pStyle w:val="Heading1"/>
      </w:pPr>
      <w:bookmarkStart w:id="4" w:name="O_1236920"/>
      <w:bookmarkEnd w:id="4"/>
      <w:r w:rsidRPr="00CB716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71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16A" w:rsidP="00CB716A">
            <w:pPr>
              <w:pStyle w:val="BodyText"/>
            </w:pPr>
            <w:r w:rsidRPr="00CB716A">
              <w:t>Assessors must hold credentials specified within the Standards for Registered Training Organisations current at the time of assessment.</w:t>
            </w:r>
          </w:p>
          <w:p w:rsidR="00000000" w:rsidRPr="00CB716A" w:rsidP="00CB716A">
            <w:pPr>
              <w:pStyle w:val="BodyText"/>
            </w:pPr>
            <w:r w:rsidRPr="00CB716A">
              <w:t>Assessment must satisfy the Principles of Assessment and Rules of Evidence and all regulatory requirements included with</w:t>
            </w:r>
            <w:r w:rsidRPr="00CB716A">
              <w:t>in the Standards for Registered Training Organisations current at the time of assessment.</w:t>
            </w:r>
          </w:p>
          <w:p w:rsidR="00000000" w:rsidRPr="00CB716A" w:rsidP="00CB716A">
            <w:pPr>
              <w:pStyle w:val="BodyText"/>
            </w:pPr>
            <w:r w:rsidRPr="00CB716A">
              <w:t>Assessment must occur in workplace operational situations where it is appropriate to do so.</w:t>
            </w:r>
          </w:p>
          <w:p w:rsidR="00000000" w:rsidRPr="00CB716A" w:rsidP="00CB716A">
            <w:pPr>
              <w:pStyle w:val="BodyText"/>
            </w:pPr>
            <w:r w:rsidRPr="00CB716A">
              <w:t>Where this is not appropriate, assessment must occur in simulated conditio</w:t>
            </w:r>
            <w:r w:rsidRPr="00CB716A">
              <w:t>ns involving realistic and authentic activities that replicate operational workplace conditions.</w:t>
            </w:r>
          </w:p>
          <w:p w:rsidR="00000000" w:rsidRPr="00CB716A" w:rsidP="00CB716A">
            <w:pPr>
              <w:pStyle w:val="BodyText"/>
            </w:pPr>
            <w:r w:rsidRPr="00CB716A">
              <w:t>Assessment processes and techniques must be appropriate to the language, literacy and numeracy requirements of the work being performed and the needs of the ca</w:t>
            </w:r>
            <w:r w:rsidRPr="00CB716A">
              <w:t>ndidate.</w:t>
            </w:r>
          </w:p>
          <w:p w:rsidR="00000000" w:rsidRPr="00CB716A" w:rsidP="00CB716A">
            <w:pPr>
              <w:pStyle w:val="BodyText"/>
            </w:pPr>
            <w:r w:rsidRPr="00CB716A">
              <w:t>Resources for assessment must include access to:</w:t>
            </w:r>
          </w:p>
          <w:p w:rsidR="00000000" w:rsidRPr="00CB716A" w:rsidP="00CB716A">
            <w:pPr>
              <w:pStyle w:val="ListBullet"/>
            </w:pPr>
            <w:r w:rsidRPr="00CB716A">
              <w:t>applicable documentation, including workplace requirements, equipment specifications, regulations, codes of practice and operation manuals.</w:t>
            </w:r>
          </w:p>
        </w:tc>
      </w:tr>
    </w:tbl>
    <w:p w:rsidR="00000000" w:rsidRPr="00CB716A" w:rsidP="00CB716A">
      <w:pPr>
        <w:pStyle w:val="NoPaddingFontSize1"/>
      </w:pPr>
    </w:p>
    <w:p w:rsidR="00000000" w:rsidRPr="00CB716A" w:rsidP="00CB716A">
      <w:pPr>
        <w:pStyle w:val="AllowPageBreak"/>
      </w:pPr>
    </w:p>
    <w:p w:rsidR="00000000" w:rsidRPr="00CB716A" w:rsidP="00CB716A">
      <w:pPr>
        <w:pStyle w:val="Heading1"/>
      </w:pPr>
      <w:bookmarkStart w:id="5" w:name="O_1236923"/>
      <w:bookmarkEnd w:id="5"/>
      <w:r w:rsidRPr="00CB716A">
        <w:t>Links</w:t>
      </w:r>
    </w:p>
    <w:p w:rsidR="00000000" w:rsidRPr="00CB716A" w:rsidP="0031224F">
      <w:pPr>
        <w:pStyle w:val="BodyText"/>
      </w:pPr>
      <w:r w:rsidRPr="00CB716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CD4AAC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CB716A" w:rsidP="00CB716A"/>
    <w:sectPr w:rsidSect="00CB716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1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16A" w:rsidRPr="0031224F" w:rsidP="003122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1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24F" w:rsidP="00CB71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1224F" w:rsidP="00CB71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1224F" w:rsidP="00CB71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1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2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716A" w:rsidRPr="0031224F" w:rsidP="003122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1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24F" w:rsidRPr="002D2AF8" w:rsidP="00CB71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UETDRIS021 Coordinate and direct switching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31224F" w:rsidP="00CB71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1B419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438C5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1104A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71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71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71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71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71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71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71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71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71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71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71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716A"/>
  </w:style>
  <w:style w:type="character" w:customStyle="1" w:styleId="Heading1Char">
    <w:name w:val="Heading 1 Char"/>
    <w:basedOn w:val="DefaultParagraphFont"/>
    <w:link w:val="Heading1"/>
    <w:rsid w:val="00CB71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71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71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716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B716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B71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71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B71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71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71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71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71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71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71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71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71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71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71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71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71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71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71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71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71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71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71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71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B716A"/>
    <w:rPr>
      <w:b/>
      <w:spacing w:val="0"/>
    </w:rPr>
  </w:style>
  <w:style w:type="paragraph" w:customStyle="1" w:styleId="SuperTitle">
    <w:name w:val="SuperTitle"/>
    <w:basedOn w:val="Title"/>
    <w:rsid w:val="00CB71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71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71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71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71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71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71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71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71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71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71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71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716A"/>
    <w:rPr>
      <w:i/>
    </w:rPr>
  </w:style>
  <w:style w:type="paragraph" w:styleId="Caption">
    <w:name w:val="caption"/>
    <w:basedOn w:val="BodyText"/>
    <w:next w:val="Normal"/>
    <w:qFormat/>
    <w:rsid w:val="00CB71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71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71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716A"/>
  </w:style>
  <w:style w:type="paragraph" w:styleId="TableofFigures">
    <w:name w:val="table of figures"/>
    <w:basedOn w:val="Normal"/>
    <w:next w:val="Normal"/>
    <w:semiHidden/>
    <w:rsid w:val="00CB71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716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B716A"/>
    <w:rPr>
      <w:rFonts w:ascii="Wingdings" w:hAnsi="Wingdings"/>
    </w:rPr>
  </w:style>
  <w:style w:type="paragraph" w:customStyle="1" w:styleId="TableHeading">
    <w:name w:val="Table Heading"/>
    <w:basedOn w:val="HeadingBase"/>
    <w:rsid w:val="00CB71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716A"/>
    <w:rPr>
      <w:color w:val="0033CC"/>
      <w:u w:val="none"/>
    </w:rPr>
  </w:style>
  <w:style w:type="paragraph" w:customStyle="1" w:styleId="BodyTextRight">
    <w:name w:val="Body Text Right"/>
    <w:basedOn w:val="BodyText"/>
    <w:rsid w:val="00CB71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71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716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71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71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71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716A"/>
    <w:rPr>
      <w:sz w:val="32"/>
    </w:rPr>
  </w:style>
  <w:style w:type="paragraph" w:customStyle="1" w:styleId="HeadingProcedure">
    <w:name w:val="Heading Procedure"/>
    <w:basedOn w:val="HeadingBase"/>
    <w:next w:val="Normal"/>
    <w:rsid w:val="00CB71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716A"/>
    <w:pPr>
      <w:spacing w:before="60" w:after="60"/>
    </w:pPr>
  </w:style>
  <w:style w:type="paragraph" w:styleId="ListContinue">
    <w:name w:val="List Continue"/>
    <w:basedOn w:val="List"/>
    <w:rsid w:val="00CB716A"/>
    <w:pPr>
      <w:ind w:firstLine="0"/>
    </w:pPr>
  </w:style>
  <w:style w:type="paragraph" w:customStyle="1" w:styleId="ListNote">
    <w:name w:val="List Note"/>
    <w:basedOn w:val="List"/>
    <w:rsid w:val="00CB71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71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71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716A"/>
    <w:rPr>
      <w:rFonts w:ascii="Courier New" w:hAnsi="Courier New"/>
    </w:rPr>
  </w:style>
  <w:style w:type="paragraph" w:customStyle="1" w:styleId="NoteBullet">
    <w:name w:val="Note Bullet"/>
    <w:basedOn w:val="Note"/>
    <w:rsid w:val="00CB71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71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71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71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716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B71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71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716A"/>
    <w:rPr>
      <w:b/>
      <w:smallCaps/>
    </w:rPr>
  </w:style>
  <w:style w:type="paragraph" w:customStyle="1" w:styleId="TableListNumber">
    <w:name w:val="Table List Number"/>
    <w:basedOn w:val="ListNumber"/>
    <w:rsid w:val="00CB71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71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716A"/>
    <w:pPr>
      <w:numPr>
        <w:numId w:val="9"/>
      </w:numPr>
    </w:pPr>
  </w:style>
  <w:style w:type="paragraph" w:customStyle="1" w:styleId="ListAlpha2">
    <w:name w:val="List Alpha 2"/>
    <w:basedOn w:val="List2"/>
    <w:rsid w:val="00CB716A"/>
    <w:pPr>
      <w:numPr>
        <w:numId w:val="8"/>
      </w:numPr>
    </w:pPr>
  </w:style>
  <w:style w:type="paragraph" w:styleId="List2">
    <w:name w:val="List 2"/>
    <w:basedOn w:val="BodyText"/>
    <w:rsid w:val="00CB71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71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71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71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716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716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B716A"/>
    <w:pPr>
      <w:numPr>
        <w:numId w:val="4"/>
      </w:numPr>
    </w:pPr>
  </w:style>
  <w:style w:type="paragraph" w:styleId="ListContinue2">
    <w:name w:val="List Continue 2"/>
    <w:basedOn w:val="List2"/>
    <w:rsid w:val="00CB716A"/>
    <w:pPr>
      <w:ind w:firstLine="0"/>
    </w:pPr>
  </w:style>
  <w:style w:type="paragraph" w:styleId="ListContinue3">
    <w:name w:val="List Continue 3"/>
    <w:basedOn w:val="List3"/>
    <w:rsid w:val="00CB716A"/>
    <w:pPr>
      <w:ind w:left="1021" w:firstLine="0"/>
    </w:pPr>
  </w:style>
  <w:style w:type="paragraph" w:styleId="ListContinue4">
    <w:name w:val="List Continue 4"/>
    <w:basedOn w:val="List4"/>
    <w:rsid w:val="00CB716A"/>
    <w:pPr>
      <w:ind w:firstLine="0"/>
    </w:pPr>
  </w:style>
  <w:style w:type="paragraph" w:styleId="ListContinue5">
    <w:name w:val="List Continue 5"/>
    <w:basedOn w:val="List5"/>
    <w:rsid w:val="00CB716A"/>
    <w:pPr>
      <w:ind w:firstLine="0"/>
    </w:pPr>
  </w:style>
  <w:style w:type="paragraph" w:styleId="ListNumber3">
    <w:name w:val="List Number 3"/>
    <w:basedOn w:val="List3"/>
    <w:rsid w:val="00CB716A"/>
    <w:pPr>
      <w:numPr>
        <w:numId w:val="5"/>
      </w:numPr>
    </w:pPr>
  </w:style>
  <w:style w:type="paragraph" w:styleId="ListNumber4">
    <w:name w:val="List Number 4"/>
    <w:basedOn w:val="List4"/>
    <w:rsid w:val="00CB716A"/>
    <w:pPr>
      <w:numPr>
        <w:numId w:val="6"/>
      </w:numPr>
    </w:pPr>
  </w:style>
  <w:style w:type="paragraph" w:styleId="ListNumber5">
    <w:name w:val="List Number 5"/>
    <w:basedOn w:val="List5"/>
    <w:rsid w:val="00CB716A"/>
    <w:pPr>
      <w:numPr>
        <w:numId w:val="7"/>
      </w:numPr>
    </w:pPr>
  </w:style>
  <w:style w:type="paragraph" w:styleId="BlockText">
    <w:name w:val="Block Text"/>
    <w:basedOn w:val="Normal"/>
    <w:rsid w:val="00CB71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71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716A"/>
    <w:rPr>
      <w:sz w:val="16"/>
      <w:vertAlign w:val="superscript"/>
    </w:rPr>
  </w:style>
  <w:style w:type="character" w:customStyle="1" w:styleId="Symbols">
    <w:name w:val="Symbols"/>
    <w:basedOn w:val="DefaultParagraphFont"/>
    <w:rsid w:val="00CB716A"/>
    <w:rPr>
      <w:rFonts w:ascii="Symbol" w:hAnsi="Symbol"/>
    </w:rPr>
  </w:style>
  <w:style w:type="character" w:customStyle="1" w:styleId="MenuOptions">
    <w:name w:val="Menu Options"/>
    <w:basedOn w:val="DefaultParagraphFont"/>
    <w:rsid w:val="00CB71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716A"/>
    <w:rPr>
      <w:b/>
    </w:rPr>
  </w:style>
  <w:style w:type="character" w:customStyle="1" w:styleId="Underlined">
    <w:name w:val="Underlined"/>
    <w:basedOn w:val="DefaultParagraphFont"/>
    <w:rsid w:val="00CB716A"/>
    <w:rPr>
      <w:u w:val="single"/>
    </w:rPr>
  </w:style>
  <w:style w:type="paragraph" w:customStyle="1" w:styleId="TableBodyTextRight">
    <w:name w:val="Table Body Text Right"/>
    <w:basedOn w:val="TableBodyText"/>
    <w:rsid w:val="00CB71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716A"/>
    <w:rPr>
      <w:sz w:val="18"/>
    </w:rPr>
  </w:style>
  <w:style w:type="paragraph" w:customStyle="1" w:styleId="BodySmallRight">
    <w:name w:val="Body Small Right"/>
    <w:basedOn w:val="BodyTextRight"/>
    <w:rsid w:val="00CB716A"/>
    <w:rPr>
      <w:sz w:val="18"/>
      <w:szCs w:val="18"/>
    </w:rPr>
  </w:style>
  <w:style w:type="paragraph" w:customStyle="1" w:styleId="MarginEdition">
    <w:name w:val="Margin Edition"/>
    <w:basedOn w:val="MarginNote"/>
    <w:rsid w:val="00CB71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716A"/>
    <w:rPr>
      <w:sz w:val="2"/>
      <w:szCs w:val="2"/>
    </w:rPr>
  </w:style>
  <w:style w:type="character" w:customStyle="1" w:styleId="Small">
    <w:name w:val="Small"/>
    <w:basedOn w:val="DefaultParagraphFont"/>
    <w:rsid w:val="00CB716A"/>
    <w:rPr>
      <w:sz w:val="16"/>
    </w:rPr>
  </w:style>
  <w:style w:type="paragraph" w:customStyle="1" w:styleId="WideTable">
    <w:name w:val="Wide Table"/>
    <w:basedOn w:val="Normal"/>
    <w:rsid w:val="00CB71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716A"/>
  </w:style>
  <w:style w:type="paragraph" w:styleId="Quote">
    <w:name w:val="Quote"/>
    <w:basedOn w:val="Heading1"/>
    <w:link w:val="QuoteChar"/>
    <w:qFormat/>
    <w:rsid w:val="00CB71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71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716A"/>
    <w:pPr>
      <w:pageBreakBefore/>
    </w:pPr>
  </w:style>
  <w:style w:type="paragraph" w:customStyle="1" w:styleId="Border">
    <w:name w:val="Border"/>
    <w:basedOn w:val="Normal"/>
    <w:qFormat/>
    <w:rsid w:val="00CB71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71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71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71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71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71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71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71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71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716A"/>
    <w:rPr>
      <w:u w:val="single"/>
    </w:rPr>
  </w:style>
  <w:style w:type="character" w:customStyle="1" w:styleId="BoldandItalics">
    <w:name w:val="Bold and Italics"/>
    <w:qFormat/>
    <w:rsid w:val="00CB716A"/>
    <w:rPr>
      <w:b/>
      <w:i/>
      <w:u w:val="none"/>
    </w:rPr>
  </w:style>
  <w:style w:type="paragraph" w:styleId="BalloonText">
    <w:name w:val="Balloon Text"/>
    <w:basedOn w:val="Normal"/>
    <w:link w:val="BalloonTextChar"/>
    <w:rsid w:val="00CB71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71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71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71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71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71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716A"/>
    <w:pPr>
      <w:spacing w:before="0" w:after="0"/>
    </w:pPr>
  </w:style>
  <w:style w:type="paragraph" w:customStyle="1" w:styleId="BodyTextBold">
    <w:name w:val="Body Text Bold"/>
    <w:basedOn w:val="BodyText"/>
    <w:qFormat/>
    <w:rsid w:val="00CB716A"/>
    <w:rPr>
      <w:b/>
    </w:rPr>
  </w:style>
  <w:style w:type="character" w:styleId="Hyperlink">
    <w:name w:val="Hyperlink"/>
    <w:basedOn w:val="DefaultParagraphFont"/>
    <w:uiPriority w:val="99"/>
    <w:unhideWhenUsed/>
    <w:rsid w:val="003122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481</Words>
  <Characters>3354</Characters>
  <Application>Microsoft Office Word</Application>
  <DocSecurity>0</DocSecurity>
  <Lines>81</Lines>
  <Paragraphs>63</Paragraphs>
  <ScaleCrop>false</ScaleCrop>
  <Company>Author-it Software Corporation Ltd.</Company>
  <LinksUpToDate>false</LinksUpToDate>
  <CharactersWithSpaces>3772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UETDRIS021 Coordinate and direct switching programs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2022-12-06T06:43:00Z</dcterms:created>
  <dcterms:modified xsi:type="dcterms:W3CDTF">2022-12-06T06:43:00Z</dcterms:modified>
</cp:coreProperties>
</file>