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3F2" w:rsidP="004F7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UETDRIS016 Install mobile generation set for synchronised HV Genset</w:t>
      </w:r>
      <w:r>
        <w:fldChar w:fldCharType="end"/>
      </w:r>
    </w:p>
    <w:p w:rsidR="004F73F2" w:rsidP="004F73F2">
      <w:pPr>
        <w:pStyle w:val="Version"/>
        <w:sectPr w:rsidSect="000C3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AB6" w:rsidP="000C3AB6">
      <w:pPr>
        <w:pStyle w:val="SuperHeading"/>
      </w:pPr>
      <w:r w:rsidRPr="000C3AB6">
        <w:t>Assessment Requirements for UETDRIS016 Install mobile generation set for synchronised HV Genset</w:t>
      </w:r>
    </w:p>
    <w:p w:rsidR="00000000" w:rsidRPr="000C3AB6" w:rsidP="000C3AB6">
      <w:pPr>
        <w:pStyle w:val="Heading1"/>
      </w:pPr>
      <w:bookmarkStart w:id="1" w:name="O_1179275"/>
      <w:bookmarkEnd w:id="1"/>
      <w:r w:rsidRPr="000C3A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6" w:rsidP="000C3AB6">
            <w:pPr>
              <w:pStyle w:val="BodyText"/>
            </w:pPr>
            <w:r w:rsidRPr="000C3AB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C3AB6" w:rsidP="000C3AB6">
      <w:pPr>
        <w:pStyle w:val="NoPaddingFontSize1"/>
      </w:pPr>
    </w:p>
    <w:p w:rsidR="00000000" w:rsidRPr="000C3AB6" w:rsidP="000C3AB6">
      <w:pPr>
        <w:pStyle w:val="AllowPageBreak"/>
      </w:pPr>
    </w:p>
    <w:p w:rsidR="00000000" w:rsidRPr="000C3AB6" w:rsidP="000C3AB6">
      <w:pPr>
        <w:pStyle w:val="Heading1"/>
      </w:pPr>
      <w:bookmarkStart w:id="2" w:name="O_1179276"/>
      <w:bookmarkEnd w:id="2"/>
      <w:r w:rsidRPr="000C3A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6">
            <w:pPr>
              <w:pStyle w:val="BodyText"/>
              <w:rPr>
                <w:lang w:val="en-NZ"/>
              </w:rPr>
            </w:pPr>
            <w:r w:rsidRPr="000C3AB6">
              <w:t>Evidence required to demonstrate competence in this unit must be r</w:t>
            </w:r>
            <w:r w:rsidRPr="000C3AB6">
              <w:t xml:space="preserve">elevant to and satisfy all of the requirements of the elements and performance criteria on at least two separate occasions and include:  </w:t>
            </w:r>
          </w:p>
        </w:tc>
      </w:tr>
      <w:tr w:rsidTr="000C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6" w:rsidP="000C3AB6">
            <w:pPr>
              <w:pStyle w:val="ListBullet"/>
            </w:pPr>
            <w:r w:rsidRPr="000C3AB6">
              <w:t xml:space="preserve">applying relevant work health and safety (WHS)/occupational health and safety (OHS) requirements, including the use </w:t>
            </w:r>
            <w:r w:rsidRPr="000C3AB6">
              <w:t>of risk control measures</w:t>
            </w:r>
          </w:p>
          <w:p w:rsidR="00000000" w:rsidRPr="000C3AB6" w:rsidP="000C3AB6">
            <w:pPr>
              <w:pStyle w:val="ListBullet"/>
            </w:pPr>
            <w:r w:rsidRPr="000C3AB6">
              <w:t>applying sustainable energy principles and practices</w:t>
            </w:r>
          </w:p>
          <w:p w:rsidR="00000000" w:rsidRPr="000C3AB6" w:rsidP="000C3AB6">
            <w:pPr>
              <w:pStyle w:val="ListBullet"/>
            </w:pPr>
            <w:r w:rsidRPr="000C3AB6">
              <w:t>completing all of the following:</w:t>
            </w:r>
          </w:p>
          <w:p w:rsidR="00000000" w:rsidRPr="000C3AB6" w:rsidP="000C3AB6">
            <w:pPr>
              <w:pStyle w:val="ListBullet2"/>
            </w:pPr>
            <w:r w:rsidRPr="000C3AB6">
              <w:t>autonomous installation of a mobile generator set for synchronised high voltage (HV) Genset incorporating operation, connection and disconnectio</w:t>
            </w:r>
            <w:r w:rsidRPr="000C3AB6">
              <w:t>n of the generator</w:t>
            </w:r>
          </w:p>
          <w:p w:rsidR="00000000" w:rsidRPr="000C3AB6" w:rsidP="000C3AB6">
            <w:pPr>
              <w:pStyle w:val="ListBullet2"/>
            </w:pPr>
            <w:r w:rsidRPr="000C3AB6">
              <w:t>evaluating load characteristics associated with networking of generators</w:t>
            </w:r>
          </w:p>
          <w:p w:rsidR="00000000" w:rsidRPr="000C3AB6" w:rsidP="000C3AB6">
            <w:pPr>
              <w:pStyle w:val="ListBullet2"/>
            </w:pPr>
            <w:r w:rsidRPr="000C3AB6">
              <w:t>synchronisation of the generator control systems onto and off the network without interruption to supply</w:t>
            </w:r>
          </w:p>
          <w:p w:rsidR="00000000" w:rsidRPr="000C3AB6" w:rsidP="000C3AB6">
            <w:pPr>
              <w:pStyle w:val="ListBullet2"/>
            </w:pPr>
            <w:r w:rsidRPr="000C3AB6">
              <w:t>estimation of HV load and assessi</w:t>
            </w:r>
            <w:r w:rsidRPr="000C3AB6">
              <w:t>ng the appropriateness of the generator</w:t>
            </w:r>
          </w:p>
          <w:p w:rsidR="00000000" w:rsidRPr="000C3AB6" w:rsidP="000C3AB6">
            <w:pPr>
              <w:pStyle w:val="ListBullet2"/>
            </w:pPr>
            <w:r w:rsidRPr="000C3AB6">
              <w:t>operating a generator in parallel to a single HV job</w:t>
            </w:r>
          </w:p>
          <w:p w:rsidR="00000000" w:rsidRPr="000C3AB6" w:rsidP="000C3AB6">
            <w:pPr>
              <w:pStyle w:val="ListBullet"/>
            </w:pPr>
            <w:r w:rsidRPr="000C3AB6">
              <w:t>dealing with unplanned events on at least one (1) occasion.</w:t>
            </w:r>
          </w:p>
        </w:tc>
      </w:tr>
    </w:tbl>
    <w:p w:rsidR="00000000" w:rsidRPr="000C3AB6" w:rsidP="000C3AB6">
      <w:pPr>
        <w:pStyle w:val="NoPaddingFontSize1"/>
      </w:pPr>
    </w:p>
    <w:p w:rsidR="00000000" w:rsidRPr="000C3AB6" w:rsidP="000C3AB6">
      <w:pPr>
        <w:pStyle w:val="AllowPageBreak"/>
      </w:pPr>
    </w:p>
    <w:p w:rsidR="00000000" w:rsidRPr="000C3AB6" w:rsidP="000C3AB6">
      <w:pPr>
        <w:pStyle w:val="Heading1"/>
      </w:pPr>
      <w:bookmarkStart w:id="3" w:name="O_1179277"/>
      <w:bookmarkEnd w:id="3"/>
      <w:r w:rsidRPr="000C3A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AB6">
            <w:pPr>
              <w:pStyle w:val="BodyText"/>
              <w:rPr>
                <w:lang w:val="en-NZ"/>
              </w:rPr>
            </w:pPr>
            <w:r w:rsidRPr="000C3AB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C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6" w:rsidP="000C3AB6">
            <w:pPr>
              <w:pStyle w:val="ListBullet"/>
            </w:pPr>
            <w:r w:rsidRPr="000C3AB6">
              <w:t>installation of a HV mobile generation encompassing:</w:t>
            </w:r>
          </w:p>
          <w:p w:rsidR="00000000" w:rsidRPr="000C3AB6" w:rsidP="000C3AB6">
            <w:pPr>
              <w:pStyle w:val="ListBullet2"/>
            </w:pPr>
            <w:r w:rsidRPr="000C3AB6">
              <w:t>safety precautions s</w:t>
            </w:r>
            <w:r w:rsidRPr="000C3AB6">
              <w:t>pecific to installing mobile generators - safe working policies, practices and procedures; techniques in connecting, operating and disconnecting generators; types of tools and equipment; and safe use of tools and equipment</w:t>
            </w:r>
          </w:p>
          <w:p w:rsidR="00000000" w:rsidRPr="000C3AB6" w:rsidP="000C3AB6">
            <w:pPr>
              <w:pStyle w:val="ListBullet2"/>
            </w:pPr>
            <w:r w:rsidRPr="000C3AB6">
              <w:t>techniques in the installation of</w:t>
            </w:r>
            <w:r w:rsidRPr="000C3AB6">
              <w:t xml:space="preserve"> generator sets - the connection of generator onto and off the network without interruption to supply and estimation of HV load</w:t>
            </w:r>
          </w:p>
          <w:p w:rsidR="00000000" w:rsidRPr="000C3AB6" w:rsidP="000C3AB6">
            <w:pPr>
              <w:pStyle w:val="ListBullet2"/>
            </w:pPr>
            <w:r w:rsidRPr="000C3AB6">
              <w:t>assessing the appropriateness of the generator</w:t>
            </w:r>
          </w:p>
          <w:p w:rsidR="00000000" w:rsidRPr="000C3AB6" w:rsidP="000C3AB6">
            <w:pPr>
              <w:pStyle w:val="ListBullet"/>
            </w:pPr>
            <w:r w:rsidRPr="000C3AB6">
              <w:t>HV generator control systems encompassing:</w:t>
            </w:r>
          </w:p>
          <w:p w:rsidR="00000000" w:rsidRPr="000C3AB6" w:rsidP="000C3AB6">
            <w:pPr>
              <w:pStyle w:val="ListBullet2"/>
            </w:pPr>
            <w:r w:rsidRPr="000C3AB6">
              <w:t>legislation, standards, codes, supply authority regulations and/or enterprise requirements pertaining to the operation of a portable generator</w:t>
            </w:r>
          </w:p>
          <w:p w:rsidR="00000000" w:rsidRPr="000C3AB6" w:rsidP="000C3AB6">
            <w:pPr>
              <w:pStyle w:val="ListBullet2"/>
            </w:pPr>
            <w:r w:rsidRPr="000C3AB6">
              <w:t xml:space="preserve">safety precautions specific to the synchronisation of generator sets - safe working </w:t>
            </w:r>
            <w:r w:rsidRPr="000C3AB6">
              <w:t>policies, practices and proce</w:t>
            </w:r>
            <w:r w:rsidRPr="000C3AB6">
              <w:t>dures; and synchronising procedures</w:t>
            </w:r>
          </w:p>
          <w:p w:rsidR="00000000" w:rsidRPr="000C3AB6" w:rsidP="000C3AB6">
            <w:pPr>
              <w:pStyle w:val="ListBullet2"/>
            </w:pPr>
            <w:r w:rsidRPr="000C3AB6">
              <w:t>techniques in the installation of generator sets control systems - the synchronising of generator control systems onto and off the network without interruption to supply, estimation of HV load and assessing the appropria</w:t>
            </w:r>
            <w:r w:rsidRPr="000C3AB6">
              <w:t>teness of the generator</w:t>
            </w:r>
          </w:p>
          <w:p w:rsidR="00000000" w:rsidRPr="000C3AB6" w:rsidP="000C3AB6">
            <w:pPr>
              <w:pStyle w:val="ListBullet2"/>
            </w:pPr>
            <w:r w:rsidRPr="000C3AB6">
              <w:t>operating a generator in parallel to a single HV job - overhead systems, indoor systems, customer installations and kiosk substations</w:t>
            </w:r>
          </w:p>
          <w:p w:rsidR="00000000" w:rsidRPr="000C3AB6" w:rsidP="000C3AB6">
            <w:pPr>
              <w:pStyle w:val="ListBullet2"/>
            </w:pPr>
            <w:r w:rsidRPr="000C3AB6">
              <w:t>HV generator set and control system to HV distribution assets</w:t>
            </w:r>
          </w:p>
          <w:p w:rsidR="00000000" w:rsidRPr="000C3AB6" w:rsidP="000C3AB6">
            <w:pPr>
              <w:pStyle w:val="ListBullet"/>
            </w:pPr>
            <w:r w:rsidRPr="000C3AB6">
              <w:t>powerline safety practices encompas</w:t>
            </w:r>
            <w:r w:rsidRPr="000C3AB6">
              <w:t>sing:</w:t>
            </w:r>
          </w:p>
          <w:p w:rsidR="00000000" w:rsidRPr="000C3AB6" w:rsidP="000C3AB6">
            <w:pPr>
              <w:pStyle w:val="ListBullet2"/>
            </w:pPr>
            <w:r w:rsidRPr="000C3AB6">
              <w:t>protective apparatus and apparel 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0C3AB6" w:rsidP="000C3AB6">
            <w:pPr>
              <w:pStyle w:val="ListBullet2"/>
            </w:pPr>
            <w:r w:rsidRPr="000C3AB6">
              <w:t xml:space="preserve">requirements for the use </w:t>
            </w:r>
            <w:r w:rsidRPr="000C3AB6">
              <w:t>of ladders - carrying, erecting, collapsing and lowering different types of extension ladder against a standing pole; maintenance checks on different types of ladders; renewal of extension ropes and the safety issues relating to clearances from overhead co</w:t>
            </w:r>
            <w:r w:rsidRPr="000C3AB6">
              <w:t>nductors</w:t>
            </w:r>
          </w:p>
          <w:p w:rsidR="00000000" w:rsidRPr="000C3AB6" w:rsidP="000C3AB6">
            <w:pPr>
              <w:pStyle w:val="ListBullet2"/>
            </w:pPr>
            <w:r w:rsidRPr="000C3AB6">
              <w:t>requirements for climbing and working aloft - methods used to identify a pole is safe to climb; methods used to inspect a line worker’s body belt; application of knots and hitches appropriate to the requirements of a line worker; height safety pri</w:t>
            </w:r>
            <w:r w:rsidRPr="000C3AB6">
              <w:t>nciples, including personal fall protection, prevention and related requirements; and the practical procedures of climbing an overhead structure and fitting a pole chair</w:t>
            </w:r>
          </w:p>
          <w:p w:rsidR="00000000" w:rsidRPr="000C3AB6" w:rsidP="000C3AB6">
            <w:pPr>
              <w:pStyle w:val="ListBullet2"/>
            </w:pPr>
            <w:r w:rsidRPr="000C3AB6">
              <w:t>traffic management - purpose of traffic management and a line worker’s responsibilitie</w:t>
            </w:r>
            <w:r w:rsidRPr="000C3AB6">
              <w:t>s in accordance with relevant statutory requirements and electricity supply industry (ESI) requirements the procedures used to provide an effective traffic management scheme and the use of a two-way radio</w:t>
            </w:r>
          </w:p>
          <w:p w:rsidR="00000000" w:rsidRPr="000C3AB6" w:rsidP="000C3AB6">
            <w:pPr>
              <w:pStyle w:val="ListBullet2"/>
            </w:pPr>
            <w:r w:rsidRPr="000C3AB6">
              <w:t xml:space="preserve">control of small fires - identification, selection </w:t>
            </w:r>
            <w:r w:rsidRPr="000C3AB6">
              <w:t>and operation of the appropriate extinguishing mediums for various types of fires; general fire prevention methods and the precautions for personal protection when fighting small fires</w:t>
            </w:r>
          </w:p>
          <w:p w:rsidR="00000000" w:rsidRPr="000C3AB6" w:rsidP="000C3AB6">
            <w:pPr>
              <w:pStyle w:val="ListBullet2"/>
            </w:pPr>
            <w:r w:rsidRPr="000C3AB6">
              <w:t>rescue victims from heights and confined spaces - planning and identify</w:t>
            </w:r>
            <w:r w:rsidRPr="000C3AB6">
              <w:t>ing procedures, establishing responses, developing techniques, involvement of external emergency services, and emergency procedures for the rescue of an electric shock victim, including cardiopulmonary resuscitation (CPR)</w:t>
            </w:r>
          </w:p>
          <w:p w:rsidR="00000000" w:rsidRPr="000C3AB6" w:rsidP="000C3AB6">
            <w:pPr>
              <w:pStyle w:val="ListBullet2"/>
            </w:pPr>
            <w:r w:rsidRPr="000C3AB6">
              <w:t>requirements for aerial linework -</w:t>
            </w:r>
            <w:r w:rsidRPr="000C3AB6">
              <w:t xml:space="preserve"> planning, establishing and implementing relevant aviation authority clearances, determining system requirements, aircrew familiarisation with network operations and equipment, and requirements for effective communications operations for aerial work.</w:t>
            </w:r>
          </w:p>
        </w:tc>
      </w:tr>
    </w:tbl>
    <w:p w:rsidR="00000000" w:rsidRPr="000C3AB6" w:rsidP="000C3AB6">
      <w:pPr>
        <w:pStyle w:val="NoPaddingFontSize1"/>
      </w:pPr>
    </w:p>
    <w:p w:rsidR="00000000" w:rsidRPr="000C3AB6" w:rsidP="000C3AB6">
      <w:pPr>
        <w:pStyle w:val="AllowPageBreak"/>
      </w:pPr>
    </w:p>
    <w:p w:rsidR="00000000" w:rsidRPr="000C3AB6" w:rsidP="000C3AB6">
      <w:pPr>
        <w:pStyle w:val="Heading1"/>
      </w:pPr>
      <w:bookmarkStart w:id="4" w:name="O_1179278"/>
      <w:bookmarkEnd w:id="4"/>
      <w:r w:rsidRPr="000C3A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A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AB6" w:rsidP="000C3AB6">
            <w:pPr>
              <w:pStyle w:val="BodyText"/>
            </w:pPr>
            <w:r w:rsidRPr="000C3AB6">
              <w:t>Assessors must hold credentials specified within the Standards for Registered Training Organisations current at the time of assessment.</w:t>
            </w:r>
          </w:p>
          <w:p w:rsidR="00000000" w:rsidRPr="000C3AB6" w:rsidP="000C3AB6">
            <w:pPr>
              <w:pStyle w:val="BodyText"/>
            </w:pPr>
            <w:r w:rsidRPr="000C3AB6">
              <w:t>Assessment must satisfy the Principles of Assessment and Rules of Evidence and a</w:t>
            </w:r>
            <w:r w:rsidRPr="000C3AB6">
              <w:t>ll regulatory requirements included within the Standards for Registered Training Organisations current at the time of assessment.</w:t>
            </w:r>
          </w:p>
          <w:p w:rsidR="00000000" w:rsidRPr="000C3AB6" w:rsidP="000C3AB6">
            <w:pPr>
              <w:pStyle w:val="BodyText"/>
            </w:pPr>
            <w:r w:rsidRPr="000C3AB6">
              <w:t xml:space="preserve">Assessment must occur in workplace operational situations where it is appropriate to do so; </w:t>
            </w:r>
            <w:r w:rsidRPr="000C3AB6">
              <w:t>where this is not appropriate, ass</w:t>
            </w:r>
            <w:r w:rsidRPr="000C3AB6">
              <w:t>essment must occur in simulated conditions involving realistic and authentic activities that replicate operational workplace conditions.</w:t>
            </w:r>
          </w:p>
          <w:p w:rsidR="00000000" w:rsidRPr="000C3AB6" w:rsidP="000C3AB6">
            <w:pPr>
              <w:pStyle w:val="BodyText"/>
            </w:pPr>
            <w:r w:rsidRPr="000C3AB6">
              <w:t>Assessment processes and techniques must be appropriate to the language, literacy and numeracy requirements of the work</w:t>
            </w:r>
            <w:r w:rsidRPr="000C3AB6">
              <w:t xml:space="preserve"> being performed and the needs of the candidate.</w:t>
            </w:r>
          </w:p>
          <w:p w:rsidR="00000000" w:rsidRPr="000C3AB6" w:rsidP="000C3AB6">
            <w:pPr>
              <w:pStyle w:val="BodyText"/>
            </w:pPr>
            <w:r w:rsidRPr="000C3AB6">
              <w:t>Resources for assessment must include access to:</w:t>
            </w:r>
          </w:p>
          <w:p w:rsidR="00000000" w:rsidRPr="000C3AB6" w:rsidP="000C3AB6">
            <w:pPr>
              <w:pStyle w:val="ListBullet"/>
            </w:pPr>
            <w:r w:rsidRPr="000C3AB6">
              <w:t>a range of relevant exercises, case studies and/or other simulations</w:t>
            </w:r>
          </w:p>
          <w:p w:rsidR="00000000" w:rsidRPr="000C3AB6" w:rsidP="000C3AB6">
            <w:pPr>
              <w:pStyle w:val="ListBullet"/>
            </w:pPr>
            <w:r w:rsidRPr="000C3AB6">
              <w:t>relevant and appropriate materials, tools, equipment and personal protective equipment (PPE) currently used in industry</w:t>
            </w:r>
          </w:p>
          <w:p w:rsidR="00000000" w:rsidRPr="000C3AB6" w:rsidP="000C3AB6">
            <w:pPr>
              <w:pStyle w:val="ListBullet"/>
            </w:pPr>
            <w:r w:rsidRPr="000C3AB6">
              <w:t>applicable documentation, including workplace procedures, equipment specifications, regulations, codes of practice and operation manuals</w:t>
            </w:r>
            <w:r w:rsidRPr="000C3AB6">
              <w:t>.</w:t>
            </w:r>
          </w:p>
        </w:tc>
      </w:tr>
    </w:tbl>
    <w:p w:rsidR="00000000" w:rsidRPr="000C3AB6" w:rsidP="000C3AB6">
      <w:pPr>
        <w:pStyle w:val="NoPaddingFontSize1"/>
      </w:pPr>
    </w:p>
    <w:p w:rsidR="00000000" w:rsidRPr="000C3AB6" w:rsidP="000C3AB6">
      <w:pPr>
        <w:pStyle w:val="AllowPageBreak"/>
      </w:pPr>
    </w:p>
    <w:p w:rsidR="00000000" w:rsidRPr="000C3AB6" w:rsidP="000C3AB6">
      <w:pPr>
        <w:pStyle w:val="Heading1"/>
      </w:pPr>
      <w:bookmarkStart w:id="5" w:name="O_1179281"/>
      <w:bookmarkEnd w:id="5"/>
      <w:r w:rsidRPr="000C3AB6">
        <w:t>Links</w:t>
      </w:r>
    </w:p>
    <w:p w:rsidR="00000000" w:rsidRPr="000C3AB6" w:rsidP="004F73F2">
      <w:pPr>
        <w:pStyle w:val="BodyText"/>
      </w:pPr>
      <w:r w:rsidRPr="000C3A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D300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3AB6" w:rsidP="000C3AB6"/>
    <w:sectPr w:rsidSect="000C3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6" w:rsidRPr="004F73F2" w:rsidP="004F7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F2" w:rsidP="000C3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3F2" w:rsidP="000C3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73F2" w:rsidP="000C3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AB6" w:rsidRPr="004F73F2" w:rsidP="004F7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F2" w:rsidRPr="002D2AF8" w:rsidP="000C3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UETDRIS016 Install mobile generation set for synchronised HV Genset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F73F2" w:rsidP="000C3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88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5E7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8CD3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AB6"/>
  </w:style>
  <w:style w:type="character" w:customStyle="1" w:styleId="Heading1Char">
    <w:name w:val="Heading 1 Char"/>
    <w:basedOn w:val="DefaultParagraphFont"/>
    <w:link w:val="Heading1"/>
    <w:rsid w:val="000C3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A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A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3A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3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A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A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AB6"/>
    <w:rPr>
      <w:b/>
      <w:spacing w:val="0"/>
    </w:rPr>
  </w:style>
  <w:style w:type="paragraph" w:customStyle="1" w:styleId="SuperTitle">
    <w:name w:val="SuperTitle"/>
    <w:basedOn w:val="Title"/>
    <w:rsid w:val="000C3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A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AB6"/>
    <w:rPr>
      <w:i/>
    </w:rPr>
  </w:style>
  <w:style w:type="paragraph" w:styleId="Caption">
    <w:name w:val="caption"/>
    <w:basedOn w:val="BodyText"/>
    <w:next w:val="Normal"/>
    <w:qFormat/>
    <w:rsid w:val="000C3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AB6"/>
  </w:style>
  <w:style w:type="paragraph" w:styleId="TableofFigures">
    <w:name w:val="table of figures"/>
    <w:basedOn w:val="Normal"/>
    <w:next w:val="Normal"/>
    <w:semiHidden/>
    <w:rsid w:val="000C3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A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AB6"/>
    <w:rPr>
      <w:rFonts w:ascii="Wingdings" w:hAnsi="Wingdings"/>
    </w:rPr>
  </w:style>
  <w:style w:type="paragraph" w:customStyle="1" w:styleId="TableHeading">
    <w:name w:val="Table Heading"/>
    <w:basedOn w:val="HeadingBase"/>
    <w:rsid w:val="000C3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AB6"/>
    <w:rPr>
      <w:color w:val="0033CC"/>
      <w:u w:val="none"/>
    </w:rPr>
  </w:style>
  <w:style w:type="paragraph" w:customStyle="1" w:styleId="BodyTextRight">
    <w:name w:val="Body Text Right"/>
    <w:basedOn w:val="BodyText"/>
    <w:rsid w:val="000C3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A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AB6"/>
    <w:rPr>
      <w:sz w:val="32"/>
    </w:rPr>
  </w:style>
  <w:style w:type="paragraph" w:customStyle="1" w:styleId="HeadingProcedure">
    <w:name w:val="Heading Procedure"/>
    <w:basedOn w:val="HeadingBase"/>
    <w:next w:val="Normal"/>
    <w:rsid w:val="000C3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AB6"/>
    <w:pPr>
      <w:spacing w:before="60" w:after="60"/>
    </w:pPr>
  </w:style>
  <w:style w:type="paragraph" w:styleId="ListContinue">
    <w:name w:val="List Continue"/>
    <w:basedOn w:val="List"/>
    <w:rsid w:val="000C3AB6"/>
    <w:pPr>
      <w:ind w:firstLine="0"/>
    </w:pPr>
  </w:style>
  <w:style w:type="paragraph" w:customStyle="1" w:styleId="ListNote">
    <w:name w:val="List Note"/>
    <w:basedOn w:val="List"/>
    <w:rsid w:val="000C3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AB6"/>
    <w:rPr>
      <w:rFonts w:ascii="Courier New" w:hAnsi="Courier New"/>
    </w:rPr>
  </w:style>
  <w:style w:type="paragraph" w:customStyle="1" w:styleId="NoteBullet">
    <w:name w:val="Note Bullet"/>
    <w:basedOn w:val="Note"/>
    <w:rsid w:val="000C3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A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AB6"/>
    <w:rPr>
      <w:b/>
      <w:smallCaps/>
    </w:rPr>
  </w:style>
  <w:style w:type="paragraph" w:customStyle="1" w:styleId="TableListNumber">
    <w:name w:val="Table List Number"/>
    <w:basedOn w:val="ListNumber"/>
    <w:rsid w:val="000C3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AB6"/>
    <w:pPr>
      <w:numPr>
        <w:numId w:val="9"/>
      </w:numPr>
    </w:pPr>
  </w:style>
  <w:style w:type="paragraph" w:customStyle="1" w:styleId="ListAlpha2">
    <w:name w:val="List Alpha 2"/>
    <w:basedOn w:val="List2"/>
    <w:rsid w:val="000C3AB6"/>
    <w:pPr>
      <w:numPr>
        <w:numId w:val="8"/>
      </w:numPr>
    </w:pPr>
  </w:style>
  <w:style w:type="paragraph" w:styleId="List2">
    <w:name w:val="List 2"/>
    <w:basedOn w:val="BodyText"/>
    <w:rsid w:val="000C3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A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A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AB6"/>
    <w:pPr>
      <w:numPr>
        <w:numId w:val="4"/>
      </w:numPr>
    </w:pPr>
  </w:style>
  <w:style w:type="paragraph" w:styleId="ListContinue2">
    <w:name w:val="List Continue 2"/>
    <w:basedOn w:val="List2"/>
    <w:rsid w:val="000C3AB6"/>
    <w:pPr>
      <w:ind w:firstLine="0"/>
    </w:pPr>
  </w:style>
  <w:style w:type="paragraph" w:styleId="ListContinue3">
    <w:name w:val="List Continue 3"/>
    <w:basedOn w:val="List3"/>
    <w:rsid w:val="000C3AB6"/>
    <w:pPr>
      <w:ind w:left="1021" w:firstLine="0"/>
    </w:pPr>
  </w:style>
  <w:style w:type="paragraph" w:styleId="ListContinue4">
    <w:name w:val="List Continue 4"/>
    <w:basedOn w:val="List4"/>
    <w:rsid w:val="000C3AB6"/>
    <w:pPr>
      <w:ind w:firstLine="0"/>
    </w:pPr>
  </w:style>
  <w:style w:type="paragraph" w:styleId="ListContinue5">
    <w:name w:val="List Continue 5"/>
    <w:basedOn w:val="List5"/>
    <w:rsid w:val="000C3AB6"/>
    <w:pPr>
      <w:ind w:firstLine="0"/>
    </w:pPr>
  </w:style>
  <w:style w:type="paragraph" w:styleId="ListNumber3">
    <w:name w:val="List Number 3"/>
    <w:basedOn w:val="List3"/>
    <w:rsid w:val="000C3AB6"/>
    <w:pPr>
      <w:numPr>
        <w:numId w:val="5"/>
      </w:numPr>
    </w:pPr>
  </w:style>
  <w:style w:type="paragraph" w:styleId="ListNumber4">
    <w:name w:val="List Number 4"/>
    <w:basedOn w:val="List4"/>
    <w:rsid w:val="000C3AB6"/>
    <w:pPr>
      <w:numPr>
        <w:numId w:val="6"/>
      </w:numPr>
    </w:pPr>
  </w:style>
  <w:style w:type="paragraph" w:styleId="ListNumber5">
    <w:name w:val="List Number 5"/>
    <w:basedOn w:val="List5"/>
    <w:rsid w:val="000C3AB6"/>
    <w:pPr>
      <w:numPr>
        <w:numId w:val="7"/>
      </w:numPr>
    </w:pPr>
  </w:style>
  <w:style w:type="paragraph" w:styleId="BlockText">
    <w:name w:val="Block Text"/>
    <w:basedOn w:val="Normal"/>
    <w:rsid w:val="000C3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AB6"/>
    <w:rPr>
      <w:sz w:val="16"/>
      <w:vertAlign w:val="superscript"/>
    </w:rPr>
  </w:style>
  <w:style w:type="character" w:customStyle="1" w:styleId="Symbols">
    <w:name w:val="Symbols"/>
    <w:basedOn w:val="DefaultParagraphFont"/>
    <w:rsid w:val="000C3AB6"/>
    <w:rPr>
      <w:rFonts w:ascii="Symbol" w:hAnsi="Symbol"/>
    </w:rPr>
  </w:style>
  <w:style w:type="character" w:customStyle="1" w:styleId="MenuOptions">
    <w:name w:val="Menu Options"/>
    <w:basedOn w:val="DefaultParagraphFont"/>
    <w:rsid w:val="000C3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AB6"/>
    <w:rPr>
      <w:b/>
    </w:rPr>
  </w:style>
  <w:style w:type="character" w:customStyle="1" w:styleId="Underlined">
    <w:name w:val="Underlined"/>
    <w:basedOn w:val="DefaultParagraphFont"/>
    <w:rsid w:val="000C3AB6"/>
    <w:rPr>
      <w:u w:val="single"/>
    </w:rPr>
  </w:style>
  <w:style w:type="paragraph" w:customStyle="1" w:styleId="TableBodyTextRight">
    <w:name w:val="Table Body Text Right"/>
    <w:basedOn w:val="TableBodyText"/>
    <w:rsid w:val="000C3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AB6"/>
    <w:rPr>
      <w:sz w:val="18"/>
    </w:rPr>
  </w:style>
  <w:style w:type="paragraph" w:customStyle="1" w:styleId="BodySmallRight">
    <w:name w:val="Body Small Right"/>
    <w:basedOn w:val="BodyTextRight"/>
    <w:rsid w:val="000C3AB6"/>
    <w:rPr>
      <w:sz w:val="18"/>
      <w:szCs w:val="18"/>
    </w:rPr>
  </w:style>
  <w:style w:type="paragraph" w:customStyle="1" w:styleId="MarginEdition">
    <w:name w:val="Margin Edition"/>
    <w:basedOn w:val="MarginNote"/>
    <w:rsid w:val="000C3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AB6"/>
    <w:rPr>
      <w:sz w:val="2"/>
      <w:szCs w:val="2"/>
    </w:rPr>
  </w:style>
  <w:style w:type="character" w:customStyle="1" w:styleId="Small">
    <w:name w:val="Small"/>
    <w:basedOn w:val="DefaultParagraphFont"/>
    <w:rsid w:val="000C3AB6"/>
    <w:rPr>
      <w:sz w:val="16"/>
    </w:rPr>
  </w:style>
  <w:style w:type="paragraph" w:customStyle="1" w:styleId="WideTable">
    <w:name w:val="Wide Table"/>
    <w:basedOn w:val="Normal"/>
    <w:rsid w:val="000C3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AB6"/>
  </w:style>
  <w:style w:type="paragraph" w:styleId="Quote">
    <w:name w:val="Quote"/>
    <w:basedOn w:val="Heading1"/>
    <w:link w:val="QuoteChar"/>
    <w:qFormat/>
    <w:rsid w:val="000C3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AB6"/>
    <w:pPr>
      <w:pageBreakBefore/>
    </w:pPr>
  </w:style>
  <w:style w:type="paragraph" w:customStyle="1" w:styleId="Border">
    <w:name w:val="Border"/>
    <w:basedOn w:val="Normal"/>
    <w:qFormat/>
    <w:rsid w:val="000C3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AB6"/>
    <w:rPr>
      <w:u w:val="single"/>
    </w:rPr>
  </w:style>
  <w:style w:type="character" w:customStyle="1" w:styleId="BoldandItalics">
    <w:name w:val="Bold and Italics"/>
    <w:qFormat/>
    <w:rsid w:val="000C3AB6"/>
    <w:rPr>
      <w:b/>
      <w:i/>
      <w:u w:val="none"/>
    </w:rPr>
  </w:style>
  <w:style w:type="paragraph" w:styleId="BalloonText">
    <w:name w:val="Balloon Text"/>
    <w:basedOn w:val="Normal"/>
    <w:link w:val="BalloonTextChar"/>
    <w:rsid w:val="000C3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AB6"/>
    <w:pPr>
      <w:spacing w:before="0" w:after="0"/>
    </w:pPr>
  </w:style>
  <w:style w:type="paragraph" w:customStyle="1" w:styleId="BodyTextBold">
    <w:name w:val="Body Text Bold"/>
    <w:basedOn w:val="BodyText"/>
    <w:qFormat/>
    <w:rsid w:val="000C3AB6"/>
    <w:rPr>
      <w:b/>
    </w:rPr>
  </w:style>
  <w:style w:type="character" w:styleId="Hyperlink">
    <w:name w:val="Hyperlink"/>
    <w:basedOn w:val="DefaultParagraphFont"/>
    <w:uiPriority w:val="99"/>
    <w:unhideWhenUsed/>
    <w:rsid w:val="004F7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5545</Characters>
  <Application>Microsoft Office Word</Application>
  <DocSecurity>0</DocSecurity>
  <Lines>106</Lines>
  <Paragraphs>55</Paragraphs>
  <ScaleCrop>false</ScaleCrop>
  <Company>Author-it Software Corporation Ltd.</Company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UETDRIS016 Install mobile generation set for synchronised HV Genset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2022-06-03T04:35:00Z</dcterms:created>
  <dcterms:modified xsi:type="dcterms:W3CDTF">2022-06-03T04:35:00Z</dcterms:modified>
</cp:coreProperties>
</file>