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E8D" w:rsidP="00194E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UETDRIS013 Install and maintain public lighting systems</w:t>
      </w:r>
      <w:r>
        <w:fldChar w:fldCharType="end"/>
      </w:r>
    </w:p>
    <w:p w:rsidR="00194E8D" w:rsidP="00194E8D">
      <w:pPr>
        <w:pStyle w:val="Version"/>
        <w:sectPr w:rsidSect="00CE7D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D6C" w:rsidP="00CE7D6C">
      <w:pPr>
        <w:pStyle w:val="SuperHeading"/>
      </w:pPr>
      <w:r w:rsidRPr="00CE7D6C">
        <w:t>UETDRIS013 Install and maintain public lighting systems</w:t>
      </w:r>
    </w:p>
    <w:p w:rsidR="00000000" w:rsidRPr="00CE7D6C" w:rsidP="00CE7D6C">
      <w:pPr>
        <w:pStyle w:val="Heading1"/>
      </w:pPr>
      <w:bookmarkStart w:id="1" w:name="O_1179208"/>
      <w:bookmarkEnd w:id="1"/>
      <w:r w:rsidRPr="00CE7D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E7D6C" w:rsidP="00CE7D6C">
      <w:pPr>
        <w:pStyle w:val="NoPaddingFontSize1"/>
      </w:pPr>
    </w:p>
    <w:p w:rsidR="00000000" w:rsidRPr="00CE7D6C" w:rsidP="00CE7D6C">
      <w:pPr>
        <w:pStyle w:val="AllowPageBreak"/>
      </w:pPr>
    </w:p>
    <w:p w:rsidR="00000000" w:rsidRPr="00CE7D6C" w:rsidP="00CE7D6C">
      <w:pPr>
        <w:pStyle w:val="Heading1"/>
      </w:pPr>
      <w:bookmarkStart w:id="2" w:name="O_1179209"/>
      <w:bookmarkEnd w:id="2"/>
      <w:r w:rsidRPr="00CE7D6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t>This unit involves the skills and kn</w:t>
            </w:r>
            <w:r w:rsidRPr="00CE7D6C">
              <w:t>owledge required to install and maintain public lighting systems in the electricity supply industry (ESI).</w:t>
            </w:r>
          </w:p>
          <w:p w:rsidR="00000000" w:rsidRPr="00CE7D6C" w:rsidP="00CE7D6C">
            <w:pPr>
              <w:pStyle w:val="BodyText"/>
            </w:pPr>
            <w:r w:rsidRPr="00CE7D6C">
              <w:t xml:space="preserve">It includes installing underground and/or overhead public lighting system, poles/columns, hardware and control equipment. </w:t>
            </w:r>
          </w:p>
          <w:p w:rsidR="00000000" w:rsidRPr="00CE7D6C" w:rsidP="00CE7D6C">
            <w:pPr>
              <w:pStyle w:val="BodyText"/>
            </w:pPr>
            <w:r w:rsidRPr="00CE7D6C">
              <w:t>It also includes testing a</w:t>
            </w:r>
            <w:r w:rsidRPr="00CE7D6C">
              <w:t>nd commissioning, inspecting and maintaining the public lighting system.</w:t>
            </w:r>
          </w:p>
          <w:p w:rsidR="00000000" w:rsidRPr="00CE7D6C" w:rsidP="00CE7D6C">
            <w:pPr>
              <w:pStyle w:val="BodyText"/>
            </w:pPr>
            <w:r w:rsidRPr="00CE7D6C">
              <w:t>The application of the skills and knowledge described in this unit may require a licence/registration to practice in the workplace.</w:t>
            </w:r>
          </w:p>
          <w:p w:rsidR="00000000" w:rsidRPr="00CE7D6C" w:rsidP="00CE7D6C">
            <w:pPr>
              <w:pStyle w:val="BodyText"/>
            </w:pPr>
            <w:r w:rsidRPr="00CE7D6C">
              <w:t>Other conditions may also apply under state and ter</w:t>
            </w:r>
            <w:r w:rsidRPr="00CE7D6C">
              <w:t>ritory legislative and regulatory licensing requirement which must be confirmed prior to commencing this unit.</w:t>
            </w:r>
          </w:p>
        </w:tc>
      </w:tr>
    </w:tbl>
    <w:p w:rsidR="00000000" w:rsidRPr="00CE7D6C" w:rsidP="00CE7D6C">
      <w:pPr>
        <w:pStyle w:val="NoPaddingFontSize1"/>
      </w:pPr>
    </w:p>
    <w:p w:rsidR="00000000" w:rsidRPr="00CE7D6C" w:rsidP="00CE7D6C">
      <w:pPr>
        <w:pStyle w:val="AllowPageBreak"/>
      </w:pPr>
    </w:p>
    <w:p w:rsidR="00000000" w:rsidRPr="00CE7D6C" w:rsidP="00CE7D6C">
      <w:pPr>
        <w:pStyle w:val="Heading1"/>
      </w:pPr>
      <w:bookmarkStart w:id="3" w:name="O_1179210"/>
      <w:bookmarkEnd w:id="3"/>
      <w:r w:rsidRPr="00CE7D6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t>UEECD0007 Apply work health and safety regulations, codes and practices in the workplace</w:t>
            </w:r>
          </w:p>
          <w:p w:rsidR="00000000" w:rsidRPr="00CE7D6C" w:rsidP="00CE7D6C">
            <w:pPr>
              <w:pStyle w:val="BodyText"/>
            </w:pPr>
            <w:r w:rsidRPr="00CE7D6C">
              <w:t>UEECD0019 Fabric</w:t>
            </w:r>
            <w:r w:rsidRPr="00CE7D6C">
              <w:t>ate, assemble and dismantle utilities industry components</w:t>
            </w:r>
          </w:p>
          <w:p w:rsidR="00000000" w:rsidRPr="00CE7D6C" w:rsidP="00CE7D6C">
            <w:pPr>
              <w:pStyle w:val="BodyText"/>
            </w:pPr>
            <w:r w:rsidRPr="00CE7D6C">
              <w:t>UEECD0044 Solve problems in multiple path circuits</w:t>
            </w:r>
          </w:p>
          <w:p w:rsidR="00000000" w:rsidRPr="00CE7D6C" w:rsidP="00CE7D6C">
            <w:pPr>
              <w:pStyle w:val="BodyText"/>
            </w:pPr>
            <w:r w:rsidRPr="00CE7D6C">
              <w:t xml:space="preserve">UEECD0046 Solve problems in single path circuits </w:t>
            </w:r>
          </w:p>
          <w:p w:rsidR="00000000" w:rsidRPr="00CE7D6C" w:rsidP="00CE7D6C">
            <w:pPr>
              <w:pStyle w:val="BodyText"/>
            </w:pPr>
            <w:r w:rsidRPr="00CE7D6C">
              <w:t>UEECD0051 Use drawings, diagrams, schedules, standards, codes and specifications</w:t>
            </w:r>
          </w:p>
          <w:p w:rsidR="00000000" w:rsidRPr="00CE7D6C" w:rsidP="00CE7D6C">
            <w:pPr>
              <w:pStyle w:val="BodyText"/>
            </w:pPr>
            <w:r w:rsidRPr="00CE7D6C">
              <w:t xml:space="preserve">UEEEL0020 Solve </w:t>
            </w:r>
            <w:r w:rsidRPr="00CE7D6C">
              <w:t>problems in low voltage a.c. circuits</w:t>
            </w:r>
          </w:p>
          <w:p w:rsidR="00000000" w:rsidRPr="00CE7D6C" w:rsidP="00CE7D6C">
            <w:pPr>
              <w:pStyle w:val="BodyText"/>
            </w:pPr>
            <w:r w:rsidRPr="00CE7D6C">
              <w:t>UEEEL0021 Solve problems in magnetic and electromagnetic devices</w:t>
            </w:r>
          </w:p>
          <w:p w:rsidR="00000000" w:rsidRPr="00CE7D6C" w:rsidP="00CE7D6C">
            <w:pPr>
              <w:pStyle w:val="BodyText"/>
            </w:pPr>
            <w:r w:rsidRPr="00CE7D6C">
              <w:t>UETDRDO005 Maintain overhead energised low voltage distribution network</w:t>
            </w:r>
          </w:p>
          <w:p w:rsidR="00000000" w:rsidRPr="00CE7D6C" w:rsidP="00CE7D6C">
            <w:pPr>
              <w:pStyle w:val="BodyText"/>
            </w:pPr>
            <w:r w:rsidRPr="00CE7D6C">
              <w:t>UETDREL001 Apply environmental requirements</w:t>
            </w:r>
          </w:p>
          <w:p w:rsidR="00000000" w:rsidRPr="00CE7D6C" w:rsidP="00CE7D6C">
            <w:pPr>
              <w:pStyle w:val="BodyText"/>
            </w:pPr>
            <w:r w:rsidRPr="00CE7D6C">
              <w:t>UETDREL004 Op</w:t>
            </w:r>
            <w:r w:rsidRPr="00CE7D6C">
              <w:t>erate plant and equipment in the vicinity of live electrical apparatus</w:t>
            </w:r>
          </w:p>
          <w:p w:rsidR="00000000" w:rsidRPr="00CE7D6C" w:rsidP="00CE7D6C">
            <w:pPr>
              <w:pStyle w:val="BodyText"/>
            </w:pPr>
            <w:r w:rsidRPr="00CE7D6C">
              <w:t>UETDREL005 Work safely in the vicinity of live electrical apparatus</w:t>
            </w:r>
          </w:p>
          <w:p w:rsidR="00000000" w:rsidRPr="00CE7D6C" w:rsidP="00CE7D6C">
            <w:pPr>
              <w:pStyle w:val="BodyText"/>
            </w:pPr>
            <w:r w:rsidRPr="00CE7D6C">
              <w:t>UETDRIS007 Install and maintain distribution overhead conductors and cables</w:t>
            </w:r>
          </w:p>
          <w:p w:rsidR="00000000" w:rsidRPr="00CE7D6C" w:rsidP="00CE7D6C">
            <w:pPr>
              <w:pStyle w:val="BodyText"/>
            </w:pPr>
            <w:r w:rsidRPr="00CE7D6C">
              <w:t>UETDRIS012 Install and maintain poles, st</w:t>
            </w:r>
            <w:r w:rsidRPr="00CE7D6C">
              <w:t>ructures and hardware</w:t>
            </w:r>
          </w:p>
        </w:tc>
      </w:tr>
    </w:tbl>
    <w:p w:rsidR="00000000" w:rsidRPr="00CE7D6C" w:rsidP="00CE7D6C">
      <w:pPr>
        <w:pStyle w:val="NoPaddingFontSize1"/>
      </w:pPr>
    </w:p>
    <w:p w:rsidR="00000000" w:rsidRPr="00CE7D6C" w:rsidP="00CE7D6C">
      <w:pPr>
        <w:pStyle w:val="AllowPageBreak"/>
      </w:pPr>
    </w:p>
    <w:p w:rsidR="00000000" w:rsidRPr="00CE7D6C" w:rsidP="00CE7D6C">
      <w:pPr>
        <w:pStyle w:val="Heading1"/>
      </w:pPr>
      <w:bookmarkStart w:id="4" w:name="O_1179211"/>
      <w:bookmarkEnd w:id="4"/>
      <w:r w:rsidRPr="00CE7D6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t>Industry Specific Cross Discipline</w:t>
            </w:r>
          </w:p>
        </w:tc>
      </w:tr>
    </w:tbl>
    <w:p w:rsidR="00000000" w:rsidRPr="00CE7D6C" w:rsidP="00CE7D6C">
      <w:pPr>
        <w:pStyle w:val="NoPaddingFontSize1"/>
      </w:pPr>
    </w:p>
    <w:p w:rsidR="00000000" w:rsidRPr="00CE7D6C" w:rsidP="00CE7D6C">
      <w:pPr>
        <w:pStyle w:val="AllowPageBreak"/>
      </w:pPr>
    </w:p>
    <w:p w:rsidR="00000000" w:rsidRPr="00CE7D6C" w:rsidP="00CE7D6C">
      <w:pPr>
        <w:pStyle w:val="Heading1"/>
      </w:pPr>
      <w:bookmarkStart w:id="5" w:name="O_1179212"/>
      <w:bookmarkEnd w:id="5"/>
      <w:r w:rsidRPr="00CE7D6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t>Not applicable.</w:t>
            </w:r>
          </w:p>
        </w:tc>
      </w:tr>
    </w:tbl>
    <w:p w:rsidR="00000000" w:rsidRPr="00CE7D6C" w:rsidP="00CE7D6C">
      <w:pPr>
        <w:pStyle w:val="NoPaddingFontSize1"/>
      </w:pPr>
    </w:p>
    <w:p w:rsidR="00000000" w:rsidRPr="00CE7D6C" w:rsidP="00CE7D6C">
      <w:pPr>
        <w:pStyle w:val="AllowPageBreak"/>
      </w:pPr>
    </w:p>
    <w:p w:rsidR="00000000" w:rsidRPr="00CE7D6C" w:rsidP="00CE7D6C">
      <w:pPr>
        <w:pStyle w:val="Heading1"/>
      </w:pPr>
      <w:bookmarkStart w:id="6" w:name="O_1179213"/>
      <w:bookmarkEnd w:id="6"/>
      <w:r w:rsidRPr="00CE7D6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PERFORMANCE CRITERIA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Performance criteria describe the performance needed to demonstrate achievement of the element.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rPr>
                <w:rStyle w:val="SpecialBold"/>
              </w:rPr>
              <w:t>Prepare to install and maintain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Legislation, regulations, standards, codes of practi</w:t>
            </w:r>
            <w:r w:rsidRPr="00CE7D6C">
              <w:t>ce and organisational workplace requirements for the work to be performed are referred to and confirmed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Work plan is obtained and confirmed in 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Materials required for work are determined and obtained in accordance with work plan and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Plant, tools, equipment and personal protective equipment (PPE) required for work are determined, obtained and confirmed in working order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Hazards are identified, risks assessed and control measures identified and applied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Safety observer role and responsibilities are discussed and confirmed in 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Communication method between the workers and safety observer is determined and confirmed in 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Safe approach distances for the work to be performed are determined and confirmed in accordance with workplace require</w:t>
            </w:r>
            <w:r w:rsidRPr="00CE7D6C">
              <w:t>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 xml:space="preserve">Work is prioritised and sequenced for completion in accordance with work plan and workplace requirements 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Worksite is prepared in accordance with the work plan and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Traffic management plan is confirmed as being in place in 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rPr>
                <w:rStyle w:val="SpecialBold"/>
              </w:rPr>
              <w:t>Carry out installation and maintenance of underground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Lifting, working at heights, the use of plant, tools, equipment and PPE are carried out in accor</w:t>
            </w:r>
            <w:r w:rsidRPr="00CE7D6C">
              <w:t>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Hazard control measures are monitored in 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Safety observer is positioned to observe the work in 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Communication methods between workers and safety observer are used in 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Safe approach distances are maintained when the work is being performed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Excavation/foundation construction is inspected in accordance</w:t>
            </w:r>
            <w:r w:rsidRPr="00CE7D6C">
              <w:t xml:space="preserve"> with the work plan and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Pole/column, hardware and control equipment are assembled in accordance with the work plan and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Pole/column is erected and stabilised in accordance with the work plan and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 xml:space="preserve">Earthing and public lighting circuits are installed in accordance with the work plan and workplace requirements 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Public lighting system is tes</w:t>
            </w:r>
            <w:r w:rsidRPr="00CE7D6C">
              <w:t>ted and commissioned in accordance with the work plan and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 xml:space="preserve">Public lighting and associated hardware are inspected in accordance with workplace requirements 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2.13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 xml:space="preserve">Public lighting systems are maintained in accordance with the work plan and workplace requirements 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2.14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Incidents or unplanned events are responded to in 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2.15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Quality checks of work are undertaken in accordance</w:t>
            </w:r>
            <w:r w:rsidRPr="00CE7D6C">
              <w:t xml:space="preserve"> with work plan and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rPr>
                <w:rStyle w:val="SpecialBold"/>
              </w:rPr>
              <w:t>Carry out installation and maintenance of overhead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Legislation, regulations, standards, codes of practice and organisational workplace requirements for the work to be performed are a</w:t>
            </w:r>
            <w:r w:rsidRPr="00CE7D6C">
              <w:t xml:space="preserve">pplied and monitored 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Lifting, climbing, working at heights, and the use of plant, tools, equipment and PPE are carried out in 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Hazard control measures are monitored in 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Safety observer is positioned to observe the work in 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 xml:space="preserve">Communication methods between workers and safety observer are used in </w:t>
            </w:r>
            <w:r w:rsidRPr="00CE7D6C">
              <w:t>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Safe approach distances are maintained when the work is being performed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Hardware, fittings and control equipment are assembled in accordance with the work plan and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Public lighting is installed in accordance with the work plan and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Public lighting system is tested and commissioned in accordance with the work plan and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Public lighting and associated hardware ar</w:t>
            </w:r>
            <w:r w:rsidRPr="00CE7D6C">
              <w:t xml:space="preserve">e inspected in accordance with workplace requirements 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3.11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 xml:space="preserve">Public lighting systems are maintained in accordance with the work plan and workplace requirements 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3.12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Incidents or unplanned events are responded to in 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3.13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Quality checks of work are undertaken in accordance with work plan and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 xml:space="preserve">Completed work is checked </w:t>
            </w:r>
            <w:r w:rsidRPr="00CE7D6C">
              <w:t>for compliance against the work plan and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Incidents or unplanned events are reported in 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Worksite is rehabilitated, cleaned and made safe in 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Plant, tools and equipment are cleaned, checked and returned to storage in 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t>Surplus materials are returned to storage or disposed of in accordance with workplace requirements</w:t>
            </w:r>
          </w:p>
        </w:tc>
      </w:tr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D6C">
            <w:pPr>
              <w:pStyle w:val="BodyText"/>
              <w:rPr>
                <w:lang w:val="en-NZ"/>
              </w:rPr>
            </w:pPr>
            <w:r w:rsidRPr="00CE7D6C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t>Work records, reports an</w:t>
            </w:r>
            <w:r w:rsidRPr="00CE7D6C">
              <w:t>d documentation are completed in accordance with workplace requirements</w:t>
            </w:r>
          </w:p>
        </w:tc>
      </w:tr>
    </w:tbl>
    <w:p w:rsidR="00000000" w:rsidRPr="00CE7D6C" w:rsidP="00CE7D6C">
      <w:pPr>
        <w:pStyle w:val="NoPaddingFontSize1"/>
      </w:pPr>
    </w:p>
    <w:p w:rsidR="00000000" w:rsidRPr="00CE7D6C" w:rsidP="00CE7D6C">
      <w:pPr>
        <w:pStyle w:val="AllowPageBreak"/>
      </w:pPr>
    </w:p>
    <w:p w:rsidR="00000000" w:rsidRPr="00CE7D6C" w:rsidP="00CE7D6C">
      <w:pPr>
        <w:pStyle w:val="Heading1"/>
      </w:pPr>
      <w:bookmarkStart w:id="7" w:name="O_1179214"/>
      <w:bookmarkEnd w:id="7"/>
      <w:r w:rsidRPr="00CE7D6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t>Foundation skills essential to performance are explicit in the performance criteria of this unit of competency.</w:t>
            </w:r>
          </w:p>
        </w:tc>
      </w:tr>
    </w:tbl>
    <w:p w:rsidR="00000000" w:rsidRPr="00CE7D6C" w:rsidP="00CE7D6C">
      <w:pPr>
        <w:pStyle w:val="NoPaddingFontSize1"/>
      </w:pPr>
    </w:p>
    <w:p w:rsidR="00000000" w:rsidRPr="00CE7D6C" w:rsidP="00CE7D6C">
      <w:pPr>
        <w:pStyle w:val="AllowPageBreak"/>
      </w:pPr>
    </w:p>
    <w:p w:rsidR="00000000" w:rsidRPr="00CE7D6C" w:rsidP="00CE7D6C">
      <w:pPr>
        <w:pStyle w:val="Heading1"/>
      </w:pPr>
      <w:bookmarkStart w:id="8" w:name="O_1179215"/>
      <w:bookmarkEnd w:id="8"/>
      <w:r w:rsidRPr="00CE7D6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t>Range is restricted to essential operating conditions and any other variables essential to the work environment.</w:t>
            </w:r>
          </w:p>
          <w:p w:rsidR="00000000" w:rsidRPr="00CE7D6C" w:rsidP="00CE7D6C">
            <w:pPr>
              <w:pStyle w:val="BodyText"/>
            </w:pPr>
            <w:r w:rsidRPr="00CE7D6C">
              <w:t>Non-essential conditions may be found in the UET Transmission, Distribution and Rail Sector Training Package Companion Volu</w:t>
            </w:r>
            <w:r w:rsidRPr="00CE7D6C">
              <w:t>me Implementation Guide.</w:t>
            </w:r>
          </w:p>
        </w:tc>
      </w:tr>
    </w:tbl>
    <w:p w:rsidR="00000000" w:rsidRPr="00CE7D6C" w:rsidP="00CE7D6C">
      <w:pPr>
        <w:pStyle w:val="NoPaddingFontSize1"/>
      </w:pPr>
    </w:p>
    <w:p w:rsidR="00000000" w:rsidRPr="00CE7D6C" w:rsidP="00CE7D6C">
      <w:pPr>
        <w:pStyle w:val="AllowPageBreak"/>
      </w:pPr>
    </w:p>
    <w:p w:rsidR="00000000" w:rsidRPr="00CE7D6C" w:rsidP="00CE7D6C">
      <w:pPr>
        <w:pStyle w:val="Heading1"/>
      </w:pPr>
      <w:bookmarkStart w:id="9" w:name="O_1179216"/>
      <w:bookmarkEnd w:id="9"/>
      <w:r w:rsidRPr="00CE7D6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7D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D6C" w:rsidP="00CE7D6C">
            <w:pPr>
              <w:pStyle w:val="BodyText"/>
            </w:pPr>
            <w:r w:rsidRPr="00CE7D6C">
              <w:t>This unit replaces and is equivalent to UETTDRIS53 Install and maintain power system public lighting.</w:t>
            </w:r>
          </w:p>
        </w:tc>
      </w:tr>
    </w:tbl>
    <w:p w:rsidR="00000000" w:rsidRPr="00CE7D6C" w:rsidP="00CE7D6C">
      <w:pPr>
        <w:pStyle w:val="NoPaddingFontSize1"/>
      </w:pPr>
    </w:p>
    <w:p w:rsidR="00000000" w:rsidRPr="00CE7D6C" w:rsidP="00CE7D6C">
      <w:pPr>
        <w:pStyle w:val="AllowPageBreak"/>
      </w:pPr>
    </w:p>
    <w:p w:rsidR="00000000" w:rsidRPr="00CE7D6C" w:rsidP="00CE7D6C">
      <w:pPr>
        <w:pStyle w:val="Heading1"/>
      </w:pPr>
      <w:bookmarkStart w:id="10" w:name="O_1179223"/>
      <w:bookmarkEnd w:id="10"/>
      <w:r w:rsidRPr="00CE7D6C">
        <w:t>Links</w:t>
      </w:r>
    </w:p>
    <w:p w:rsidR="00000000" w:rsidRPr="00CE7D6C" w:rsidP="00194E8D">
      <w:pPr>
        <w:pStyle w:val="BodyText"/>
      </w:pPr>
      <w:r w:rsidRPr="00CE7D6C">
        <w:t>Companion Volume Implementation Guides are found in VETN</w:t>
      </w:r>
      <w:r w:rsidRPr="00CE7D6C">
        <w:t xml:space="preserve">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5485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E7D6C" w:rsidP="00CE7D6C"/>
    <w:sectPr w:rsidSect="00CE7D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6C" w:rsidRPr="00194E8D" w:rsidP="00194E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E8D" w:rsidP="00CE7D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4E8D" w:rsidP="00CE7D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94E8D" w:rsidP="00CE7D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E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D6C" w:rsidRPr="00194E8D" w:rsidP="00194E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D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E8D" w:rsidRPr="002D2AF8" w:rsidP="00CE7D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UETDRIS013 Install and maintain public lighting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194E8D" w:rsidP="00CE7D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D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D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D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D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D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D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D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D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D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D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D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D6C"/>
  </w:style>
  <w:style w:type="character" w:customStyle="1" w:styleId="Heading1Char">
    <w:name w:val="Heading 1 Char"/>
    <w:basedOn w:val="DefaultParagraphFont"/>
    <w:link w:val="Heading1"/>
    <w:rsid w:val="00CE7D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D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D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7D6C"/>
    <w:rPr>
      <w:b/>
      <w:spacing w:val="0"/>
    </w:rPr>
  </w:style>
  <w:style w:type="paragraph" w:customStyle="1" w:styleId="SuperHeading">
    <w:name w:val="SuperHeading"/>
    <w:basedOn w:val="Normal"/>
    <w:rsid w:val="00CE7D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D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7D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D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D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D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D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D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D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D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D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D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D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D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D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D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D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D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D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7D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7D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7D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D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D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7D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7D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D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D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D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D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D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D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D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D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7D6C"/>
    <w:rPr>
      <w:i/>
    </w:rPr>
  </w:style>
  <w:style w:type="paragraph" w:styleId="Caption">
    <w:name w:val="caption"/>
    <w:basedOn w:val="BodyText"/>
    <w:next w:val="Normal"/>
    <w:qFormat/>
    <w:rsid w:val="00CE7D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D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D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D6C"/>
  </w:style>
  <w:style w:type="paragraph" w:styleId="TableofFigures">
    <w:name w:val="table of figures"/>
    <w:basedOn w:val="Normal"/>
    <w:next w:val="Normal"/>
    <w:semiHidden/>
    <w:rsid w:val="00CE7D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D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7D6C"/>
    <w:rPr>
      <w:rFonts w:ascii="Wingdings" w:hAnsi="Wingdings"/>
    </w:rPr>
  </w:style>
  <w:style w:type="paragraph" w:customStyle="1" w:styleId="TableHeading">
    <w:name w:val="Table Heading"/>
    <w:basedOn w:val="HeadingBase"/>
    <w:rsid w:val="00CE7D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D6C"/>
    <w:rPr>
      <w:color w:val="0033CC"/>
      <w:u w:val="none"/>
    </w:rPr>
  </w:style>
  <w:style w:type="paragraph" w:customStyle="1" w:styleId="BodyTextRight">
    <w:name w:val="Body Text Right"/>
    <w:basedOn w:val="BodyText"/>
    <w:rsid w:val="00CE7D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D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D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D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D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D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D6C"/>
    <w:rPr>
      <w:sz w:val="32"/>
    </w:rPr>
  </w:style>
  <w:style w:type="paragraph" w:customStyle="1" w:styleId="HeadingProcedure">
    <w:name w:val="Heading Procedure"/>
    <w:basedOn w:val="HeadingBase"/>
    <w:next w:val="Normal"/>
    <w:rsid w:val="00CE7D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D6C"/>
    <w:pPr>
      <w:spacing w:before="60" w:after="60"/>
    </w:pPr>
  </w:style>
  <w:style w:type="paragraph" w:styleId="ListContinue">
    <w:name w:val="List Continue"/>
    <w:basedOn w:val="List"/>
    <w:rsid w:val="00CE7D6C"/>
    <w:pPr>
      <w:ind w:firstLine="0"/>
    </w:pPr>
  </w:style>
  <w:style w:type="paragraph" w:customStyle="1" w:styleId="ListNote">
    <w:name w:val="List Note"/>
    <w:basedOn w:val="List"/>
    <w:rsid w:val="00CE7D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D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D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D6C"/>
    <w:rPr>
      <w:rFonts w:ascii="Courier New" w:hAnsi="Courier New"/>
    </w:rPr>
  </w:style>
  <w:style w:type="paragraph" w:customStyle="1" w:styleId="NoteBullet">
    <w:name w:val="Note Bullet"/>
    <w:basedOn w:val="Note"/>
    <w:rsid w:val="00CE7D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D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D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D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D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7D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D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D6C"/>
    <w:rPr>
      <w:b/>
      <w:smallCaps/>
    </w:rPr>
  </w:style>
  <w:style w:type="paragraph" w:customStyle="1" w:styleId="TableListNumber">
    <w:name w:val="Table List Number"/>
    <w:basedOn w:val="ListNumber"/>
    <w:rsid w:val="00CE7D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D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D6C"/>
    <w:pPr>
      <w:numPr>
        <w:numId w:val="7"/>
      </w:numPr>
    </w:pPr>
  </w:style>
  <w:style w:type="paragraph" w:customStyle="1" w:styleId="ListAlpha2">
    <w:name w:val="List Alpha 2"/>
    <w:basedOn w:val="List2"/>
    <w:rsid w:val="00CE7D6C"/>
    <w:pPr>
      <w:numPr>
        <w:numId w:val="6"/>
      </w:numPr>
    </w:pPr>
  </w:style>
  <w:style w:type="paragraph" w:styleId="List2">
    <w:name w:val="List 2"/>
    <w:basedOn w:val="BodyText"/>
    <w:rsid w:val="00CE7D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D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D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D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D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D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7D6C"/>
    <w:pPr>
      <w:numPr>
        <w:numId w:val="2"/>
      </w:numPr>
    </w:pPr>
  </w:style>
  <w:style w:type="paragraph" w:styleId="ListContinue2">
    <w:name w:val="List Continue 2"/>
    <w:basedOn w:val="List2"/>
    <w:rsid w:val="00CE7D6C"/>
    <w:pPr>
      <w:ind w:firstLine="0"/>
    </w:pPr>
  </w:style>
  <w:style w:type="paragraph" w:styleId="ListContinue3">
    <w:name w:val="List Continue 3"/>
    <w:basedOn w:val="List3"/>
    <w:rsid w:val="00CE7D6C"/>
    <w:pPr>
      <w:ind w:left="1021" w:firstLine="0"/>
    </w:pPr>
  </w:style>
  <w:style w:type="paragraph" w:styleId="ListContinue4">
    <w:name w:val="List Continue 4"/>
    <w:basedOn w:val="List4"/>
    <w:rsid w:val="00CE7D6C"/>
    <w:pPr>
      <w:ind w:firstLine="0"/>
    </w:pPr>
  </w:style>
  <w:style w:type="paragraph" w:styleId="ListContinue5">
    <w:name w:val="List Continue 5"/>
    <w:basedOn w:val="List5"/>
    <w:rsid w:val="00CE7D6C"/>
    <w:pPr>
      <w:ind w:firstLine="0"/>
    </w:pPr>
  </w:style>
  <w:style w:type="paragraph" w:styleId="ListNumber3">
    <w:name w:val="List Number 3"/>
    <w:basedOn w:val="List3"/>
    <w:rsid w:val="00CE7D6C"/>
    <w:pPr>
      <w:numPr>
        <w:numId w:val="3"/>
      </w:numPr>
    </w:pPr>
  </w:style>
  <w:style w:type="paragraph" w:styleId="ListNumber4">
    <w:name w:val="List Number 4"/>
    <w:basedOn w:val="List4"/>
    <w:rsid w:val="00CE7D6C"/>
    <w:pPr>
      <w:numPr>
        <w:numId w:val="4"/>
      </w:numPr>
    </w:pPr>
  </w:style>
  <w:style w:type="paragraph" w:styleId="ListNumber5">
    <w:name w:val="List Number 5"/>
    <w:basedOn w:val="List5"/>
    <w:rsid w:val="00CE7D6C"/>
    <w:pPr>
      <w:numPr>
        <w:numId w:val="5"/>
      </w:numPr>
    </w:pPr>
  </w:style>
  <w:style w:type="paragraph" w:styleId="BlockText">
    <w:name w:val="Block Text"/>
    <w:basedOn w:val="Normal"/>
    <w:rsid w:val="00CE7D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D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D6C"/>
    <w:rPr>
      <w:sz w:val="16"/>
      <w:vertAlign w:val="superscript"/>
    </w:rPr>
  </w:style>
  <w:style w:type="character" w:customStyle="1" w:styleId="Symbols">
    <w:name w:val="Symbols"/>
    <w:basedOn w:val="DefaultParagraphFont"/>
    <w:rsid w:val="00CE7D6C"/>
    <w:rPr>
      <w:rFonts w:ascii="Symbol" w:hAnsi="Symbol"/>
    </w:rPr>
  </w:style>
  <w:style w:type="character" w:customStyle="1" w:styleId="MenuOptions">
    <w:name w:val="Menu Options"/>
    <w:basedOn w:val="DefaultParagraphFont"/>
    <w:rsid w:val="00CE7D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D6C"/>
    <w:rPr>
      <w:b/>
    </w:rPr>
  </w:style>
  <w:style w:type="character" w:customStyle="1" w:styleId="Underlined">
    <w:name w:val="Underlined"/>
    <w:basedOn w:val="DefaultParagraphFont"/>
    <w:rsid w:val="00CE7D6C"/>
    <w:rPr>
      <w:u w:val="single"/>
    </w:rPr>
  </w:style>
  <w:style w:type="paragraph" w:customStyle="1" w:styleId="TableBodyTextRight">
    <w:name w:val="Table Body Text Right"/>
    <w:basedOn w:val="TableBodyText"/>
    <w:rsid w:val="00CE7D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D6C"/>
    <w:rPr>
      <w:sz w:val="18"/>
    </w:rPr>
  </w:style>
  <w:style w:type="paragraph" w:customStyle="1" w:styleId="BodySmallRight">
    <w:name w:val="Body Small Right"/>
    <w:basedOn w:val="BodyTextRight"/>
    <w:rsid w:val="00CE7D6C"/>
    <w:rPr>
      <w:sz w:val="18"/>
      <w:szCs w:val="18"/>
    </w:rPr>
  </w:style>
  <w:style w:type="paragraph" w:customStyle="1" w:styleId="MarginEdition">
    <w:name w:val="Margin Edition"/>
    <w:basedOn w:val="MarginNote"/>
    <w:rsid w:val="00CE7D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D6C"/>
    <w:rPr>
      <w:sz w:val="2"/>
      <w:szCs w:val="2"/>
    </w:rPr>
  </w:style>
  <w:style w:type="character" w:customStyle="1" w:styleId="Small">
    <w:name w:val="Small"/>
    <w:basedOn w:val="DefaultParagraphFont"/>
    <w:rsid w:val="00CE7D6C"/>
    <w:rPr>
      <w:sz w:val="16"/>
    </w:rPr>
  </w:style>
  <w:style w:type="paragraph" w:customStyle="1" w:styleId="WideTable">
    <w:name w:val="Wide Table"/>
    <w:basedOn w:val="Normal"/>
    <w:rsid w:val="00CE7D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D6C"/>
  </w:style>
  <w:style w:type="paragraph" w:styleId="Quote">
    <w:name w:val="Quote"/>
    <w:basedOn w:val="Heading1"/>
    <w:link w:val="QuoteChar"/>
    <w:qFormat/>
    <w:rsid w:val="00CE7D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D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D6C"/>
    <w:pPr>
      <w:pageBreakBefore/>
    </w:pPr>
  </w:style>
  <w:style w:type="paragraph" w:customStyle="1" w:styleId="Border">
    <w:name w:val="Border"/>
    <w:basedOn w:val="Normal"/>
    <w:qFormat/>
    <w:rsid w:val="00CE7D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D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D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D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D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D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D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D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D6C"/>
    <w:rPr>
      <w:u w:val="single"/>
    </w:rPr>
  </w:style>
  <w:style w:type="character" w:customStyle="1" w:styleId="BoldandItalics">
    <w:name w:val="Bold and Italics"/>
    <w:qFormat/>
    <w:rsid w:val="00CE7D6C"/>
    <w:rPr>
      <w:b/>
      <w:i/>
      <w:u w:val="none"/>
    </w:rPr>
  </w:style>
  <w:style w:type="paragraph" w:styleId="BalloonText">
    <w:name w:val="Balloon Text"/>
    <w:basedOn w:val="Normal"/>
    <w:link w:val="BalloonTextChar"/>
    <w:rsid w:val="00CE7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D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D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D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D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D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D6C"/>
    <w:pPr>
      <w:spacing w:before="0" w:after="0"/>
    </w:pPr>
  </w:style>
  <w:style w:type="paragraph" w:customStyle="1" w:styleId="BodyTextBold">
    <w:name w:val="Body Text Bold"/>
    <w:basedOn w:val="BodyText"/>
    <w:qFormat/>
    <w:rsid w:val="00CE7D6C"/>
    <w:rPr>
      <w:b/>
    </w:rPr>
  </w:style>
  <w:style w:type="character" w:styleId="Hyperlink">
    <w:name w:val="Hyperlink"/>
    <w:basedOn w:val="DefaultParagraphFont"/>
    <w:uiPriority w:val="99"/>
    <w:unhideWhenUsed/>
    <w:rsid w:val="00194E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1142</Words>
  <Characters>7151</Characters>
  <Application>Microsoft Office Word</Application>
  <DocSecurity>0</DocSecurity>
  <Lines>357</Lines>
  <Paragraphs>169</Paragraphs>
  <ScaleCrop>false</ScaleCrop>
  <Company>Author-it Software Corporation Ltd.</Company>
  <LinksUpToDate>false</LinksUpToDate>
  <CharactersWithSpaces>8124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UETDRIS013 Install and maintain public lighting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