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578" w:rsidP="00E52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UETDRIS012 Install and maintain poles, structures and hardware</w:t>
      </w:r>
      <w:r>
        <w:fldChar w:fldCharType="end"/>
      </w:r>
    </w:p>
    <w:p w:rsidR="00E52578" w:rsidP="00E52578">
      <w:pPr>
        <w:pStyle w:val="Version"/>
        <w:sectPr w:rsidSect="006A2E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E02" w:rsidP="006A2E02">
      <w:pPr>
        <w:pStyle w:val="SuperHeading"/>
      </w:pPr>
      <w:r w:rsidRPr="006A2E02">
        <w:t>Assessment Requirements for UETDRIS012 Install and maintain poles, structures and hardware</w:t>
      </w:r>
    </w:p>
    <w:p w:rsidR="00000000" w:rsidRPr="006A2E02" w:rsidP="006A2E02">
      <w:pPr>
        <w:pStyle w:val="Heading1"/>
      </w:pPr>
      <w:bookmarkStart w:id="1" w:name="O_1179199"/>
      <w:bookmarkEnd w:id="1"/>
      <w:r w:rsidRPr="006A2E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02" w:rsidP="006A2E02">
            <w:pPr>
              <w:pStyle w:val="BodyText"/>
            </w:pPr>
            <w:r w:rsidRPr="006A2E02">
              <w:t xml:space="preserve">Release 1. This is the first release of this unit of competency in the UET Transmission, Distribution and Rail Sector Training Package Release 2.0. </w:t>
            </w:r>
          </w:p>
        </w:tc>
      </w:tr>
    </w:tbl>
    <w:p w:rsidR="00000000" w:rsidRPr="006A2E02" w:rsidP="006A2E02">
      <w:pPr>
        <w:pStyle w:val="NoPaddingFontSize1"/>
      </w:pPr>
    </w:p>
    <w:p w:rsidR="00000000" w:rsidRPr="006A2E02" w:rsidP="006A2E02">
      <w:pPr>
        <w:pStyle w:val="AllowPageBreak"/>
      </w:pPr>
    </w:p>
    <w:p w:rsidR="00000000" w:rsidRPr="006A2E02" w:rsidP="006A2E02">
      <w:pPr>
        <w:pStyle w:val="Heading1"/>
      </w:pPr>
      <w:bookmarkStart w:id="2" w:name="O_1179200"/>
      <w:bookmarkEnd w:id="2"/>
      <w:r w:rsidRPr="006A2E0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02">
            <w:pPr>
              <w:pStyle w:val="BodyText"/>
              <w:rPr>
                <w:lang w:val="en-NZ"/>
              </w:rPr>
            </w:pPr>
            <w:r w:rsidRPr="006A2E02">
              <w:t xml:space="preserve">Evidence required to demonstrate competence in this unit must be </w:t>
            </w:r>
            <w:r w:rsidRPr="006A2E02">
              <w:t xml:space="preserve">relevant to and satisfy all of the requirements of the elements and performance criteria on at least two separate occasions and include:  </w:t>
            </w:r>
          </w:p>
        </w:tc>
      </w:tr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02" w:rsidP="006A2E02">
            <w:pPr>
              <w:pStyle w:val="ListBullet"/>
            </w:pPr>
            <w:r w:rsidRPr="006A2E02">
              <w:t>applying relevant legislation, regulations, standards, codes of practice and organisational workplace requirements,</w:t>
            </w:r>
            <w:r w:rsidRPr="006A2E02">
              <w:t xml:space="preserve"> including:</w:t>
            </w:r>
          </w:p>
          <w:p w:rsidR="00000000" w:rsidRPr="006A2E02" w:rsidP="006A2E02">
            <w:pPr>
              <w:pStyle w:val="ListBullet2"/>
            </w:pPr>
            <w:r w:rsidRPr="006A2E02">
              <w:t>work health and safety (WHS)/occupational health and safety (OHS)</w:t>
            </w:r>
          </w:p>
          <w:p w:rsidR="00000000" w:rsidRPr="006A2E02" w:rsidP="006A2E02">
            <w:pPr>
              <w:pStyle w:val="ListBullet"/>
            </w:pPr>
            <w:r w:rsidRPr="006A2E02">
              <w:t>identifying hazards, assessing risks, identifying, applying and monitoring control measures</w:t>
            </w:r>
          </w:p>
          <w:p w:rsidR="00000000" w:rsidRPr="006A2E02" w:rsidP="006A2E02">
            <w:pPr>
              <w:pStyle w:val="ListBullet"/>
            </w:pPr>
            <w:r w:rsidRPr="006A2E02">
              <w:t>obtaining, inspecting and using relevant personal protective equipment (PPE)</w:t>
            </w:r>
          </w:p>
          <w:p w:rsidR="00000000" w:rsidRPr="006A2E02" w:rsidP="006A2E02">
            <w:pPr>
              <w:pStyle w:val="ListBullet"/>
            </w:pPr>
            <w:r w:rsidRPr="006A2E02">
              <w:t>installing and maintaining at least one (1) of the following pole/structure types:</w:t>
            </w:r>
          </w:p>
          <w:p w:rsidR="00000000" w:rsidRPr="006A2E02" w:rsidP="006A2E02">
            <w:pPr>
              <w:pStyle w:val="ListBullet2"/>
            </w:pPr>
            <w:r w:rsidRPr="006A2E02">
              <w:t>wood</w:t>
            </w:r>
          </w:p>
          <w:p w:rsidR="00000000" w:rsidRPr="006A2E02" w:rsidP="006A2E02">
            <w:pPr>
              <w:pStyle w:val="ListBullet2"/>
            </w:pPr>
            <w:r w:rsidRPr="006A2E02">
              <w:t>steel</w:t>
            </w:r>
          </w:p>
          <w:p w:rsidR="00000000" w:rsidRPr="006A2E02" w:rsidP="006A2E02">
            <w:pPr>
              <w:pStyle w:val="ListBullet2"/>
            </w:pPr>
            <w:r w:rsidRPr="006A2E02">
              <w:t>concrete</w:t>
            </w:r>
          </w:p>
          <w:p w:rsidR="00000000" w:rsidRPr="006A2E02" w:rsidP="006A2E02">
            <w:pPr>
              <w:pStyle w:val="ListBullet2"/>
            </w:pPr>
            <w:r w:rsidRPr="006A2E02">
              <w:t>composite</w:t>
            </w:r>
          </w:p>
          <w:p w:rsidR="00000000" w:rsidRPr="006A2E02" w:rsidP="006A2E02">
            <w:pPr>
              <w:pStyle w:val="ListBullet"/>
            </w:pPr>
            <w:r w:rsidRPr="006A2E02">
              <w:t>installing and maintaining at least three (3) of the following hardware types:</w:t>
            </w:r>
          </w:p>
          <w:p w:rsidR="00000000" w:rsidRPr="006A2E02" w:rsidP="006A2E02">
            <w:pPr>
              <w:pStyle w:val="ListBullet"/>
            </w:pPr>
            <w:r w:rsidRPr="006A2E02">
              <w:t>insulators</w:t>
            </w:r>
          </w:p>
          <w:p w:rsidR="00000000" w:rsidRPr="006A2E02" w:rsidP="006A2E02">
            <w:pPr>
              <w:pStyle w:val="ListBullet"/>
            </w:pPr>
            <w:r w:rsidRPr="006A2E02">
              <w:t>cross-arm braces</w:t>
            </w:r>
          </w:p>
          <w:p w:rsidR="00000000" w:rsidRPr="006A2E02" w:rsidP="006A2E02">
            <w:pPr>
              <w:pStyle w:val="ListBullet"/>
            </w:pPr>
            <w:r w:rsidRPr="006A2E02">
              <w:t>cross arms</w:t>
            </w:r>
          </w:p>
          <w:p w:rsidR="00000000" w:rsidRPr="006A2E02" w:rsidP="006A2E02">
            <w:pPr>
              <w:pStyle w:val="ListBullet"/>
            </w:pPr>
            <w:r w:rsidRPr="006A2E02">
              <w:t>pole steps</w:t>
            </w:r>
          </w:p>
          <w:p w:rsidR="00000000" w:rsidRPr="006A2E02" w:rsidP="006A2E02">
            <w:pPr>
              <w:pStyle w:val="ListBullet"/>
            </w:pPr>
            <w:r w:rsidRPr="006A2E02">
              <w:t>shackle stra</w:t>
            </w:r>
            <w:r w:rsidRPr="006A2E02">
              <w:t>ps</w:t>
            </w:r>
          </w:p>
          <w:p w:rsidR="00000000" w:rsidRPr="006A2E02" w:rsidP="006A2E02">
            <w:pPr>
              <w:pStyle w:val="ListBullet"/>
            </w:pPr>
            <w:r w:rsidRPr="006A2E02">
              <w:t>earth leads</w:t>
            </w:r>
          </w:p>
          <w:p w:rsidR="00000000" w:rsidRPr="006A2E02" w:rsidP="006A2E02">
            <w:pPr>
              <w:pStyle w:val="ListBullet"/>
            </w:pPr>
            <w:r w:rsidRPr="006A2E02">
              <w:t>traction supports</w:t>
            </w:r>
          </w:p>
          <w:p w:rsidR="00000000" w:rsidRPr="006A2E02" w:rsidP="006A2E02">
            <w:pPr>
              <w:pStyle w:val="ListBullet"/>
            </w:pPr>
            <w:r w:rsidRPr="006A2E02">
              <w:t>traction registration</w:t>
            </w:r>
          </w:p>
          <w:p w:rsidR="00000000" w:rsidRPr="006A2E02" w:rsidP="006A2E02">
            <w:pPr>
              <w:pStyle w:val="ListBullet"/>
            </w:pPr>
            <w:r w:rsidRPr="006A2E02">
              <w:t>bonding</w:t>
            </w:r>
          </w:p>
          <w:p w:rsidR="00000000" w:rsidRPr="006A2E02" w:rsidP="006A2E02">
            <w:pPr>
              <w:pStyle w:val="ListBullet"/>
            </w:pPr>
            <w:r w:rsidRPr="006A2E02">
              <w:t>using at least one (1) of the following pole stabilisation methods:</w:t>
            </w:r>
          </w:p>
          <w:p w:rsidR="00000000" w:rsidRPr="006A2E02" w:rsidP="006A2E02">
            <w:pPr>
              <w:pStyle w:val="ListBullet2"/>
            </w:pPr>
            <w:r w:rsidRPr="006A2E02">
              <w:t>compaction</w:t>
            </w:r>
          </w:p>
          <w:p w:rsidR="00000000" w:rsidRPr="006A2E02" w:rsidP="006A2E02">
            <w:pPr>
              <w:pStyle w:val="ListBullet2"/>
            </w:pPr>
            <w:r w:rsidRPr="006A2E02">
              <w:t>baulking</w:t>
            </w:r>
          </w:p>
          <w:p w:rsidR="00000000" w:rsidRPr="006A2E02" w:rsidP="006A2E02">
            <w:pPr>
              <w:pStyle w:val="ListBullet2"/>
            </w:pPr>
            <w:r w:rsidRPr="006A2E02">
              <w:t>stays</w:t>
            </w:r>
          </w:p>
          <w:p w:rsidR="00000000" w:rsidRPr="006A2E02" w:rsidP="006A2E02">
            <w:pPr>
              <w:pStyle w:val="ListBullet2"/>
            </w:pPr>
            <w:r w:rsidRPr="006A2E02">
              <w:t>concreting (including formwork)</w:t>
            </w:r>
          </w:p>
          <w:p w:rsidR="00000000" w:rsidRPr="006A2E02" w:rsidP="006A2E02">
            <w:pPr>
              <w:pStyle w:val="ListBullet"/>
            </w:pPr>
            <w:r w:rsidRPr="006A2E02">
              <w:t>dealing with an unplanned event on at least one (1) occasion</w:t>
            </w:r>
          </w:p>
          <w:p w:rsidR="00000000" w:rsidRPr="006A2E02" w:rsidP="006A2E02">
            <w:pPr>
              <w:pStyle w:val="ListBullet"/>
            </w:pPr>
            <w:r w:rsidRPr="006A2E02">
              <w:t xml:space="preserve">obtaining and signing on and off relevant work permits in accordance with workplace </w:t>
            </w:r>
            <w:r w:rsidRPr="006A2E02">
              <w:t>requirements</w:t>
            </w:r>
          </w:p>
          <w:p w:rsidR="00000000" w:rsidRPr="006A2E02" w:rsidP="006A2E02">
            <w:pPr>
              <w:pStyle w:val="ListBullet"/>
            </w:pPr>
            <w:r w:rsidRPr="006A2E02">
              <w:t>completing relevant work records, reports and documentation</w:t>
            </w:r>
          </w:p>
        </w:tc>
      </w:tr>
    </w:tbl>
    <w:p w:rsidR="00000000" w:rsidRPr="006A2E02" w:rsidP="006A2E02">
      <w:pPr>
        <w:pStyle w:val="NoPaddingFontSize1"/>
      </w:pPr>
    </w:p>
    <w:p w:rsidR="00000000" w:rsidRPr="006A2E02" w:rsidP="006A2E02">
      <w:pPr>
        <w:pStyle w:val="AllowPageBreak"/>
      </w:pPr>
    </w:p>
    <w:p w:rsidR="00000000" w:rsidRPr="006A2E02" w:rsidP="006A2E02">
      <w:pPr>
        <w:pStyle w:val="Heading1"/>
      </w:pPr>
      <w:bookmarkStart w:id="3" w:name="O_1179201"/>
      <w:bookmarkEnd w:id="3"/>
      <w:r w:rsidRPr="006A2E0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E02">
            <w:pPr>
              <w:pStyle w:val="BodyText"/>
              <w:rPr>
                <w:lang w:val="en-NZ"/>
              </w:rPr>
            </w:pPr>
            <w:r w:rsidRPr="006A2E0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02" w:rsidP="006A2E02">
            <w:pPr>
              <w:pStyle w:val="ListBullet"/>
            </w:pPr>
            <w:r w:rsidRPr="006A2E02">
              <w:t>relevant legislation, regulations standards, codes of practice and organis</w:t>
            </w:r>
            <w:r w:rsidRPr="006A2E02">
              <w:t xml:space="preserve">ational workplace requirements, including: </w:t>
            </w:r>
          </w:p>
          <w:p w:rsidR="00000000" w:rsidRPr="006A2E02" w:rsidP="006A2E02">
            <w:pPr>
              <w:pStyle w:val="ListBullet2"/>
            </w:pPr>
            <w:r w:rsidRPr="006A2E02">
              <w:t>WHS/OHS</w:t>
            </w:r>
          </w:p>
          <w:p w:rsidR="00000000" w:rsidRPr="006A2E02" w:rsidP="006A2E02">
            <w:pPr>
              <w:pStyle w:val="ListBullet"/>
            </w:pPr>
            <w:r w:rsidRPr="006A2E02">
              <w:t>hazard, risk assessment and risk control requirements, including potential hazards</w:t>
            </w:r>
          </w:p>
          <w:p w:rsidR="00000000" w:rsidRPr="006A2E02" w:rsidP="006A2E02">
            <w:pPr>
              <w:pStyle w:val="ListBullet"/>
            </w:pPr>
            <w:r w:rsidRPr="006A2E02">
              <w:t>types and application of PPE</w:t>
            </w:r>
          </w:p>
          <w:p w:rsidR="00000000" w:rsidRPr="006A2E02" w:rsidP="006A2E02">
            <w:pPr>
              <w:pStyle w:val="ListBullet"/>
            </w:pPr>
            <w:r w:rsidRPr="006A2E02">
              <w:t xml:space="preserve">safe use of plant and equipment </w:t>
            </w:r>
          </w:p>
          <w:p w:rsidR="00000000" w:rsidRPr="006A2E02" w:rsidP="006A2E02">
            <w:pPr>
              <w:pStyle w:val="ListBullet"/>
            </w:pPr>
            <w:r w:rsidRPr="006A2E02">
              <w:t>application, purpose and types of work permits</w:t>
            </w:r>
          </w:p>
          <w:p w:rsidR="00000000" w:rsidRPr="006A2E02" w:rsidP="006A2E02">
            <w:pPr>
              <w:pStyle w:val="ListBullet"/>
            </w:pPr>
            <w:r w:rsidRPr="006A2E02">
              <w:t>events constituting an unplanned event or incident</w:t>
            </w:r>
          </w:p>
          <w:p w:rsidR="00000000" w:rsidRPr="006A2E02" w:rsidP="006A2E02">
            <w:pPr>
              <w:pStyle w:val="ListBullet"/>
            </w:pPr>
            <w:r w:rsidRPr="006A2E02">
              <w:t>procedures for responding to an unplanned event or incident</w:t>
            </w:r>
          </w:p>
          <w:p w:rsidR="00000000" w:rsidRPr="006A2E02" w:rsidP="006A2E02">
            <w:pPr>
              <w:pStyle w:val="ListBullet"/>
            </w:pPr>
            <w:r w:rsidRPr="006A2E02">
              <w:t>construction manuals, system diagrams/plans and drawings</w:t>
            </w:r>
          </w:p>
          <w:p w:rsidR="00000000" w:rsidRPr="006A2E02" w:rsidP="006A2E02">
            <w:pPr>
              <w:pStyle w:val="ListBullet"/>
            </w:pPr>
            <w:r w:rsidRPr="006A2E02">
              <w:t>characteristics and applications of different types of poles/structures and hardware</w:t>
            </w:r>
          </w:p>
          <w:p w:rsidR="00000000" w:rsidRPr="006A2E02" w:rsidP="006A2E02">
            <w:pPr>
              <w:pStyle w:val="ListBullet"/>
            </w:pPr>
            <w:r w:rsidRPr="006A2E02">
              <w:t>ins</w:t>
            </w:r>
            <w:r w:rsidRPr="006A2E02">
              <w:t>tallation of poles/structures and hardware, including:</w:t>
            </w:r>
          </w:p>
          <w:p w:rsidR="00000000" w:rsidRPr="006A2E02" w:rsidP="006A2E02">
            <w:pPr>
              <w:pStyle w:val="ListBullet2"/>
            </w:pPr>
            <w:r w:rsidRPr="006A2E02">
              <w:t>stays/guys</w:t>
            </w:r>
          </w:p>
          <w:p w:rsidR="00000000" w:rsidRPr="006A2E02" w:rsidP="006A2E02">
            <w:pPr>
              <w:pStyle w:val="ListBullet2"/>
            </w:pPr>
            <w:r w:rsidRPr="006A2E02">
              <w:t>erection methods</w:t>
            </w:r>
          </w:p>
          <w:p w:rsidR="00000000" w:rsidRPr="006A2E02" w:rsidP="006A2E02">
            <w:pPr>
              <w:pStyle w:val="ListBullet2"/>
            </w:pPr>
            <w:r w:rsidRPr="006A2E02">
              <w:t>types of installation equipment/tools</w:t>
            </w:r>
          </w:p>
          <w:p w:rsidR="00000000" w:rsidRPr="006A2E02" w:rsidP="006A2E02">
            <w:pPr>
              <w:pStyle w:val="ListBullet2"/>
            </w:pPr>
            <w:r w:rsidRPr="006A2E02">
              <w:t>excavation methods</w:t>
            </w:r>
          </w:p>
          <w:p w:rsidR="00000000" w:rsidRPr="006A2E02" w:rsidP="006A2E02">
            <w:pPr>
              <w:pStyle w:val="ListBullet2"/>
            </w:pPr>
            <w:r w:rsidRPr="006A2E02">
              <w:t>types of footings/foundations</w:t>
            </w:r>
          </w:p>
          <w:p w:rsidR="00000000" w:rsidRPr="006A2E02" w:rsidP="006A2E02">
            <w:pPr>
              <w:pStyle w:val="ListBullet2"/>
            </w:pPr>
            <w:r w:rsidRPr="006A2E02">
              <w:t>types of attachments</w:t>
            </w:r>
          </w:p>
          <w:p w:rsidR="00000000" w:rsidRPr="006A2E02" w:rsidP="006A2E02">
            <w:pPr>
              <w:pStyle w:val="ListBullet2"/>
            </w:pPr>
            <w:r w:rsidRPr="006A2E02">
              <w:t xml:space="preserve">earthing </w:t>
            </w:r>
          </w:p>
          <w:p w:rsidR="00000000" w:rsidRPr="006A2E02" w:rsidP="006A2E02">
            <w:pPr>
              <w:pStyle w:val="ListBullet2"/>
            </w:pPr>
            <w:r w:rsidRPr="006A2E02">
              <w:t>bonding</w:t>
            </w:r>
          </w:p>
          <w:p w:rsidR="00000000" w:rsidRPr="006A2E02" w:rsidP="006A2E02">
            <w:pPr>
              <w:pStyle w:val="ListBullet2"/>
            </w:pPr>
            <w:r w:rsidRPr="006A2E02">
              <w:t xml:space="preserve">safe methods of erecting and stabilising poles/structures and cross arms </w:t>
            </w:r>
          </w:p>
          <w:p w:rsidR="00000000" w:rsidRPr="006A2E02" w:rsidP="006A2E02">
            <w:pPr>
              <w:pStyle w:val="ListBullet"/>
            </w:pPr>
            <w:r w:rsidRPr="006A2E02">
              <w:t>maintenance of poles/structures and hardware, including:</w:t>
            </w:r>
          </w:p>
          <w:p w:rsidR="00000000" w:rsidRPr="006A2E02" w:rsidP="006A2E02">
            <w:pPr>
              <w:pStyle w:val="ListBullet2"/>
            </w:pPr>
            <w:r w:rsidRPr="006A2E02">
              <w:t>stays/guys</w:t>
            </w:r>
          </w:p>
          <w:p w:rsidR="00000000" w:rsidRPr="006A2E02" w:rsidP="006A2E02">
            <w:pPr>
              <w:pStyle w:val="ListBullet2"/>
            </w:pPr>
            <w:r w:rsidRPr="006A2E02">
              <w:t>supporting unstable poles/structures</w:t>
            </w:r>
          </w:p>
          <w:p w:rsidR="00000000" w:rsidRPr="006A2E02" w:rsidP="006A2E02">
            <w:pPr>
              <w:pStyle w:val="ListBullet2"/>
            </w:pPr>
            <w:r w:rsidRPr="006A2E02">
              <w:t xml:space="preserve">strengthening methods </w:t>
            </w:r>
          </w:p>
          <w:p w:rsidR="00000000" w:rsidRPr="006A2E02" w:rsidP="006A2E02">
            <w:pPr>
              <w:pStyle w:val="ListBullet2"/>
            </w:pPr>
            <w:r w:rsidRPr="006A2E02">
              <w:t>insulators and cross arms.</w:t>
            </w:r>
          </w:p>
        </w:tc>
      </w:tr>
    </w:tbl>
    <w:p w:rsidR="00000000" w:rsidRPr="006A2E02" w:rsidP="006A2E02">
      <w:pPr>
        <w:pStyle w:val="NoPaddingFontSize1"/>
      </w:pPr>
    </w:p>
    <w:p w:rsidR="00000000" w:rsidRPr="006A2E02" w:rsidP="006A2E02">
      <w:pPr>
        <w:pStyle w:val="AllowPageBreak"/>
      </w:pPr>
    </w:p>
    <w:p w:rsidR="00000000" w:rsidRPr="006A2E02" w:rsidP="006A2E02">
      <w:pPr>
        <w:pStyle w:val="Heading1"/>
      </w:pPr>
      <w:bookmarkStart w:id="4" w:name="O_1179202"/>
      <w:bookmarkEnd w:id="4"/>
      <w:r w:rsidRPr="006A2E0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2E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E02" w:rsidP="006A2E02">
            <w:pPr>
              <w:pStyle w:val="BodyText"/>
            </w:pPr>
            <w:r w:rsidRPr="006A2E02">
              <w:t>Assessors must hold credentials specified within the Standards for Registered Training Organisations current at the time of assessment.</w:t>
            </w:r>
          </w:p>
          <w:p w:rsidR="00000000" w:rsidRPr="006A2E02" w:rsidP="006A2E02">
            <w:pPr>
              <w:pStyle w:val="BodyText"/>
            </w:pPr>
            <w:r w:rsidRPr="006A2E02">
              <w:t>Assessment must satisfy the Principles of Assessment and Rules of Evidence and all regulatory requ</w:t>
            </w:r>
            <w:r w:rsidRPr="006A2E02">
              <w:t>irements included within the Standards for Registered Training Organisations current at the time of assessment.</w:t>
            </w:r>
          </w:p>
          <w:p w:rsidR="00000000" w:rsidRPr="006A2E02" w:rsidP="006A2E02">
            <w:pPr>
              <w:pStyle w:val="BodyText"/>
            </w:pPr>
            <w:r w:rsidRPr="006A2E02">
              <w:t>Assessment must occur in workplace operational situations, where it is appropriate to do so.</w:t>
            </w:r>
          </w:p>
          <w:p w:rsidR="00000000" w:rsidRPr="006A2E02" w:rsidP="006A2E02">
            <w:pPr>
              <w:pStyle w:val="BodyText"/>
            </w:pPr>
            <w:r w:rsidRPr="006A2E02">
              <w:t>Where this is not appropriate, assessment must occu</w:t>
            </w:r>
            <w:r w:rsidRPr="006A2E02">
              <w:t>r in simulated conditions involving realistic and authentic activities that replicate operational workplace conditions.</w:t>
            </w:r>
          </w:p>
          <w:p w:rsidR="00000000" w:rsidRPr="006A2E02" w:rsidP="006A2E02">
            <w:pPr>
              <w:pStyle w:val="BodyText"/>
            </w:pPr>
            <w:r w:rsidRPr="006A2E02">
              <w:t xml:space="preserve">Assessment processes and techniques must be appropriate to the language, literacy and numeracy requirements of the work being performed </w:t>
            </w:r>
            <w:r w:rsidRPr="006A2E02">
              <w:t>and the needs of the candidate.</w:t>
            </w:r>
          </w:p>
          <w:p w:rsidR="00000000" w:rsidRPr="006A2E02" w:rsidP="006A2E02">
            <w:pPr>
              <w:pStyle w:val="BodyText"/>
            </w:pPr>
            <w:r w:rsidRPr="006A2E02">
              <w:t>Resources for assessment must include access to:</w:t>
            </w:r>
          </w:p>
          <w:p w:rsidR="00000000" w:rsidRPr="006A2E02" w:rsidP="006A2E02">
            <w:pPr>
              <w:pStyle w:val="ListBullet"/>
            </w:pPr>
            <w:r w:rsidRPr="006A2E02">
              <w:t>relevant and appropriate materials, tools, facilities, equipment and PPE currently used in industry for installing and maintaining poles, structures and hardware</w:t>
            </w:r>
          </w:p>
          <w:p w:rsidR="00000000" w:rsidRPr="006A2E02" w:rsidP="006A2E02">
            <w:pPr>
              <w:pStyle w:val="ListBullet"/>
            </w:pPr>
            <w:r w:rsidRPr="006A2E02">
              <w:t>applicable d</w:t>
            </w:r>
            <w:r w:rsidRPr="006A2E02">
              <w:t>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6A2E02" w:rsidP="006A2E02">
      <w:pPr>
        <w:pStyle w:val="NoPaddingFontSize1"/>
      </w:pPr>
    </w:p>
    <w:p w:rsidR="00000000" w:rsidRPr="006A2E02" w:rsidP="006A2E02">
      <w:pPr>
        <w:pStyle w:val="AllowPageBreak"/>
      </w:pPr>
    </w:p>
    <w:p w:rsidR="00000000" w:rsidRPr="006A2E02" w:rsidP="006A2E02">
      <w:pPr>
        <w:pStyle w:val="Heading1"/>
      </w:pPr>
      <w:bookmarkStart w:id="5" w:name="O_1179205"/>
      <w:bookmarkEnd w:id="5"/>
      <w:r w:rsidRPr="006A2E02">
        <w:t>Links</w:t>
      </w:r>
    </w:p>
    <w:p w:rsidR="00000000" w:rsidRPr="006A2E02" w:rsidP="00E52578">
      <w:pPr>
        <w:pStyle w:val="BodyText"/>
      </w:pPr>
      <w:r w:rsidRPr="006A2E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64E0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A2E02" w:rsidP="006A2E02"/>
    <w:sectPr w:rsidSect="006A2E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02" w:rsidRPr="00E52578" w:rsidP="00E52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78" w:rsidP="006A2E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578" w:rsidP="006A2E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2578" w:rsidP="006A2E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E02" w:rsidRPr="00E52578" w:rsidP="00E52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E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78" w:rsidRPr="002D2AF8" w:rsidP="006A2E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UETDRIS012 Install and maintain poles, structures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52578" w:rsidP="006A2E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38D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D4D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BE4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E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E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E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E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E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E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E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E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E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E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E02"/>
  </w:style>
  <w:style w:type="character" w:customStyle="1" w:styleId="Heading1Char">
    <w:name w:val="Heading 1 Char"/>
    <w:basedOn w:val="DefaultParagraphFont"/>
    <w:link w:val="Heading1"/>
    <w:rsid w:val="006A2E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E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E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E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E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E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E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2E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E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E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E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E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E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E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E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E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E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E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E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E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E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E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E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E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E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E02"/>
    <w:rPr>
      <w:b/>
      <w:spacing w:val="0"/>
    </w:rPr>
  </w:style>
  <w:style w:type="paragraph" w:customStyle="1" w:styleId="SuperTitle">
    <w:name w:val="SuperTitle"/>
    <w:basedOn w:val="Title"/>
    <w:rsid w:val="006A2E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E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E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E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E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E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E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E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E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E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E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E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E02"/>
    <w:rPr>
      <w:i/>
    </w:rPr>
  </w:style>
  <w:style w:type="paragraph" w:styleId="Caption">
    <w:name w:val="caption"/>
    <w:basedOn w:val="BodyText"/>
    <w:next w:val="Normal"/>
    <w:qFormat/>
    <w:rsid w:val="006A2E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E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E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E02"/>
  </w:style>
  <w:style w:type="paragraph" w:styleId="TableofFigures">
    <w:name w:val="table of figures"/>
    <w:basedOn w:val="Normal"/>
    <w:next w:val="Normal"/>
    <w:semiHidden/>
    <w:rsid w:val="006A2E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E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E02"/>
    <w:rPr>
      <w:rFonts w:ascii="Wingdings" w:hAnsi="Wingdings"/>
    </w:rPr>
  </w:style>
  <w:style w:type="paragraph" w:customStyle="1" w:styleId="TableHeading">
    <w:name w:val="Table Heading"/>
    <w:basedOn w:val="HeadingBase"/>
    <w:rsid w:val="006A2E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E02"/>
    <w:rPr>
      <w:color w:val="0033CC"/>
      <w:u w:val="none"/>
    </w:rPr>
  </w:style>
  <w:style w:type="paragraph" w:customStyle="1" w:styleId="BodyTextRight">
    <w:name w:val="Body Text Right"/>
    <w:basedOn w:val="BodyText"/>
    <w:rsid w:val="006A2E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E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E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E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E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E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E02"/>
    <w:rPr>
      <w:sz w:val="32"/>
    </w:rPr>
  </w:style>
  <w:style w:type="paragraph" w:customStyle="1" w:styleId="HeadingProcedure">
    <w:name w:val="Heading Procedure"/>
    <w:basedOn w:val="HeadingBase"/>
    <w:next w:val="Normal"/>
    <w:rsid w:val="006A2E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E02"/>
    <w:pPr>
      <w:spacing w:before="60" w:after="60"/>
    </w:pPr>
  </w:style>
  <w:style w:type="paragraph" w:styleId="ListContinue">
    <w:name w:val="List Continue"/>
    <w:basedOn w:val="List"/>
    <w:rsid w:val="006A2E02"/>
    <w:pPr>
      <w:ind w:firstLine="0"/>
    </w:pPr>
  </w:style>
  <w:style w:type="paragraph" w:customStyle="1" w:styleId="ListNote">
    <w:name w:val="List Note"/>
    <w:basedOn w:val="List"/>
    <w:rsid w:val="006A2E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E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E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E02"/>
    <w:rPr>
      <w:rFonts w:ascii="Courier New" w:hAnsi="Courier New"/>
    </w:rPr>
  </w:style>
  <w:style w:type="paragraph" w:customStyle="1" w:styleId="NoteBullet">
    <w:name w:val="Note Bullet"/>
    <w:basedOn w:val="Note"/>
    <w:rsid w:val="006A2E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E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E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E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E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E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E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E02"/>
    <w:rPr>
      <w:b/>
      <w:smallCaps/>
    </w:rPr>
  </w:style>
  <w:style w:type="paragraph" w:customStyle="1" w:styleId="TableListNumber">
    <w:name w:val="Table List Number"/>
    <w:basedOn w:val="ListNumber"/>
    <w:rsid w:val="006A2E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E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E02"/>
    <w:pPr>
      <w:numPr>
        <w:numId w:val="9"/>
      </w:numPr>
    </w:pPr>
  </w:style>
  <w:style w:type="paragraph" w:customStyle="1" w:styleId="ListAlpha2">
    <w:name w:val="List Alpha 2"/>
    <w:basedOn w:val="List2"/>
    <w:rsid w:val="006A2E02"/>
    <w:pPr>
      <w:numPr>
        <w:numId w:val="8"/>
      </w:numPr>
    </w:pPr>
  </w:style>
  <w:style w:type="paragraph" w:styleId="List2">
    <w:name w:val="List 2"/>
    <w:basedOn w:val="BodyText"/>
    <w:rsid w:val="006A2E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E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E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E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E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E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E02"/>
    <w:pPr>
      <w:numPr>
        <w:numId w:val="4"/>
      </w:numPr>
    </w:pPr>
  </w:style>
  <w:style w:type="paragraph" w:styleId="ListContinue2">
    <w:name w:val="List Continue 2"/>
    <w:basedOn w:val="List2"/>
    <w:rsid w:val="006A2E02"/>
    <w:pPr>
      <w:ind w:firstLine="0"/>
    </w:pPr>
  </w:style>
  <w:style w:type="paragraph" w:styleId="ListContinue3">
    <w:name w:val="List Continue 3"/>
    <w:basedOn w:val="List3"/>
    <w:rsid w:val="006A2E02"/>
    <w:pPr>
      <w:ind w:left="1021" w:firstLine="0"/>
    </w:pPr>
  </w:style>
  <w:style w:type="paragraph" w:styleId="ListContinue4">
    <w:name w:val="List Continue 4"/>
    <w:basedOn w:val="List4"/>
    <w:rsid w:val="006A2E02"/>
    <w:pPr>
      <w:ind w:firstLine="0"/>
    </w:pPr>
  </w:style>
  <w:style w:type="paragraph" w:styleId="ListContinue5">
    <w:name w:val="List Continue 5"/>
    <w:basedOn w:val="List5"/>
    <w:rsid w:val="006A2E02"/>
    <w:pPr>
      <w:ind w:firstLine="0"/>
    </w:pPr>
  </w:style>
  <w:style w:type="paragraph" w:styleId="ListNumber3">
    <w:name w:val="List Number 3"/>
    <w:basedOn w:val="List3"/>
    <w:rsid w:val="006A2E02"/>
    <w:pPr>
      <w:numPr>
        <w:numId w:val="5"/>
      </w:numPr>
    </w:pPr>
  </w:style>
  <w:style w:type="paragraph" w:styleId="ListNumber4">
    <w:name w:val="List Number 4"/>
    <w:basedOn w:val="List4"/>
    <w:rsid w:val="006A2E02"/>
    <w:pPr>
      <w:numPr>
        <w:numId w:val="6"/>
      </w:numPr>
    </w:pPr>
  </w:style>
  <w:style w:type="paragraph" w:styleId="ListNumber5">
    <w:name w:val="List Number 5"/>
    <w:basedOn w:val="List5"/>
    <w:rsid w:val="006A2E02"/>
    <w:pPr>
      <w:numPr>
        <w:numId w:val="7"/>
      </w:numPr>
    </w:pPr>
  </w:style>
  <w:style w:type="paragraph" w:styleId="BlockText">
    <w:name w:val="Block Text"/>
    <w:basedOn w:val="Normal"/>
    <w:rsid w:val="006A2E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E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E02"/>
    <w:rPr>
      <w:sz w:val="16"/>
      <w:vertAlign w:val="superscript"/>
    </w:rPr>
  </w:style>
  <w:style w:type="character" w:customStyle="1" w:styleId="Symbols">
    <w:name w:val="Symbols"/>
    <w:basedOn w:val="DefaultParagraphFont"/>
    <w:rsid w:val="006A2E02"/>
    <w:rPr>
      <w:rFonts w:ascii="Symbol" w:hAnsi="Symbol"/>
    </w:rPr>
  </w:style>
  <w:style w:type="character" w:customStyle="1" w:styleId="MenuOptions">
    <w:name w:val="Menu Options"/>
    <w:basedOn w:val="DefaultParagraphFont"/>
    <w:rsid w:val="006A2E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E02"/>
    <w:rPr>
      <w:b/>
    </w:rPr>
  </w:style>
  <w:style w:type="character" w:customStyle="1" w:styleId="Underlined">
    <w:name w:val="Underlined"/>
    <w:basedOn w:val="DefaultParagraphFont"/>
    <w:rsid w:val="006A2E02"/>
    <w:rPr>
      <w:u w:val="single"/>
    </w:rPr>
  </w:style>
  <w:style w:type="paragraph" w:customStyle="1" w:styleId="TableBodyTextRight">
    <w:name w:val="Table Body Text Right"/>
    <w:basedOn w:val="TableBodyText"/>
    <w:rsid w:val="006A2E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E02"/>
    <w:rPr>
      <w:sz w:val="18"/>
    </w:rPr>
  </w:style>
  <w:style w:type="paragraph" w:customStyle="1" w:styleId="BodySmallRight">
    <w:name w:val="Body Small Right"/>
    <w:basedOn w:val="BodyTextRight"/>
    <w:rsid w:val="006A2E02"/>
    <w:rPr>
      <w:sz w:val="18"/>
      <w:szCs w:val="18"/>
    </w:rPr>
  </w:style>
  <w:style w:type="paragraph" w:customStyle="1" w:styleId="MarginEdition">
    <w:name w:val="Margin Edition"/>
    <w:basedOn w:val="MarginNote"/>
    <w:rsid w:val="006A2E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E02"/>
    <w:rPr>
      <w:sz w:val="2"/>
      <w:szCs w:val="2"/>
    </w:rPr>
  </w:style>
  <w:style w:type="character" w:customStyle="1" w:styleId="Small">
    <w:name w:val="Small"/>
    <w:basedOn w:val="DefaultParagraphFont"/>
    <w:rsid w:val="006A2E02"/>
    <w:rPr>
      <w:sz w:val="16"/>
    </w:rPr>
  </w:style>
  <w:style w:type="paragraph" w:customStyle="1" w:styleId="WideTable">
    <w:name w:val="Wide Table"/>
    <w:basedOn w:val="Normal"/>
    <w:rsid w:val="006A2E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E02"/>
  </w:style>
  <w:style w:type="paragraph" w:styleId="Quote">
    <w:name w:val="Quote"/>
    <w:basedOn w:val="Heading1"/>
    <w:link w:val="QuoteChar"/>
    <w:qFormat/>
    <w:rsid w:val="006A2E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E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E02"/>
    <w:pPr>
      <w:pageBreakBefore/>
    </w:pPr>
  </w:style>
  <w:style w:type="paragraph" w:customStyle="1" w:styleId="Border">
    <w:name w:val="Border"/>
    <w:basedOn w:val="Normal"/>
    <w:qFormat/>
    <w:rsid w:val="006A2E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E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E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E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E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E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E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E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E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E02"/>
    <w:rPr>
      <w:u w:val="single"/>
    </w:rPr>
  </w:style>
  <w:style w:type="character" w:customStyle="1" w:styleId="BoldandItalics">
    <w:name w:val="Bold and Italics"/>
    <w:qFormat/>
    <w:rsid w:val="006A2E02"/>
    <w:rPr>
      <w:b/>
      <w:i/>
      <w:u w:val="none"/>
    </w:rPr>
  </w:style>
  <w:style w:type="paragraph" w:styleId="BalloonText">
    <w:name w:val="Balloon Text"/>
    <w:basedOn w:val="Normal"/>
    <w:link w:val="BalloonTextChar"/>
    <w:rsid w:val="006A2E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E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E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E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E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E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E02"/>
    <w:pPr>
      <w:spacing w:before="0" w:after="0"/>
    </w:pPr>
  </w:style>
  <w:style w:type="paragraph" w:customStyle="1" w:styleId="BodyTextBold">
    <w:name w:val="Body Text Bold"/>
    <w:basedOn w:val="BodyText"/>
    <w:qFormat/>
    <w:rsid w:val="006A2E02"/>
    <w:rPr>
      <w:b/>
    </w:rPr>
  </w:style>
  <w:style w:type="character" w:styleId="Hyperlink">
    <w:name w:val="Hyperlink"/>
    <w:basedOn w:val="DefaultParagraphFont"/>
    <w:uiPriority w:val="99"/>
    <w:unhideWhenUsed/>
    <w:rsid w:val="00E52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3787</Characters>
  <Application>Microsoft Office Word</Application>
  <DocSecurity>0</DocSecurity>
  <Lines>102</Lines>
  <Paragraphs>85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UETDRIS012 Install and maintain poles, structures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