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21F" w:rsidP="00C542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UETDRIS011 Install and maintain low voltage underground services</w:t>
      </w:r>
      <w:r>
        <w:fldChar w:fldCharType="end"/>
      </w:r>
    </w:p>
    <w:p w:rsidR="00C5421F" w:rsidP="00C5421F">
      <w:pPr>
        <w:pStyle w:val="Version"/>
        <w:sectPr w:rsidSect="00F71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8A1" w:rsidP="00F718A1">
      <w:pPr>
        <w:pStyle w:val="SuperHeading"/>
      </w:pPr>
      <w:r w:rsidRPr="00F718A1">
        <w:t>Assessment Requirements for UETDRIS011 Install and maintain low voltage underground services</w:t>
      </w:r>
    </w:p>
    <w:p w:rsidR="00000000" w:rsidRPr="00F718A1" w:rsidP="00F718A1">
      <w:pPr>
        <w:pStyle w:val="Heading1"/>
      </w:pPr>
      <w:bookmarkStart w:id="1" w:name="O_1179180"/>
      <w:bookmarkEnd w:id="1"/>
      <w:r w:rsidRPr="00F718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A1" w:rsidP="00F718A1">
            <w:pPr>
              <w:pStyle w:val="BodyText"/>
            </w:pPr>
            <w:r w:rsidRPr="00F718A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718A1" w:rsidP="00F718A1">
      <w:pPr>
        <w:pStyle w:val="NoPaddingFontSize1"/>
      </w:pPr>
    </w:p>
    <w:p w:rsidR="00000000" w:rsidRPr="00F718A1" w:rsidP="00F718A1">
      <w:pPr>
        <w:pStyle w:val="AllowPageBreak"/>
      </w:pPr>
    </w:p>
    <w:p w:rsidR="00000000" w:rsidRPr="00F718A1" w:rsidP="00F718A1">
      <w:pPr>
        <w:pStyle w:val="Heading1"/>
      </w:pPr>
      <w:bookmarkStart w:id="2" w:name="O_1179181"/>
      <w:bookmarkEnd w:id="2"/>
      <w:r w:rsidRPr="00F718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A1">
            <w:pPr>
              <w:pStyle w:val="BodyText"/>
              <w:rPr>
                <w:lang w:val="en-NZ"/>
              </w:rPr>
            </w:pPr>
            <w:r w:rsidRPr="00F718A1">
              <w:t>Evidence required to demonstrate competence in this unit must be r</w:t>
            </w:r>
            <w:r w:rsidRPr="00F718A1">
              <w:t xml:space="preserve">elevant to and satisfy all of the requirements of the elements and performance criteria on at least two separate occasions and include:  </w:t>
            </w:r>
          </w:p>
        </w:tc>
      </w:tr>
      <w:tr w:rsidTr="00F7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A1" w:rsidP="00F718A1">
            <w:pPr>
              <w:pStyle w:val="ListBullet"/>
            </w:pPr>
            <w:r w:rsidRPr="00F718A1">
              <w:t xml:space="preserve">applying relevant legislation, regulations, standards, codes of practice and organisational workplace requirements, </w:t>
            </w:r>
            <w:r w:rsidRPr="00F718A1">
              <w:t>including:</w:t>
            </w:r>
          </w:p>
          <w:p w:rsidR="00000000" w:rsidRPr="00F718A1" w:rsidP="00F718A1">
            <w:pPr>
              <w:pStyle w:val="ListBullet2"/>
            </w:pPr>
            <w:r w:rsidRPr="00F718A1">
              <w:t>work health and safety (WHS)/occupational health and safety (OHS)</w:t>
            </w:r>
          </w:p>
          <w:p w:rsidR="00000000" w:rsidRPr="00F718A1" w:rsidP="00F718A1">
            <w:pPr>
              <w:pStyle w:val="ListBullet"/>
            </w:pPr>
            <w:r w:rsidRPr="00F718A1">
              <w:t>identifying hazards, assessing risks, identifying, applying and monitoring control measures</w:t>
            </w:r>
          </w:p>
          <w:p w:rsidR="00000000" w:rsidRPr="00F718A1" w:rsidP="00F718A1">
            <w:pPr>
              <w:pStyle w:val="ListBullet"/>
            </w:pPr>
            <w:r w:rsidRPr="00F718A1">
              <w:t>obtaining, inspecting and using relevant personal protective equipment (PPE)</w:t>
            </w:r>
          </w:p>
          <w:p w:rsidR="00000000" w:rsidRPr="00F718A1" w:rsidP="00F718A1">
            <w:pPr>
              <w:pStyle w:val="ListBullet"/>
            </w:pPr>
            <w:r w:rsidRPr="00F718A1">
              <w:t>determining communication method with safety observer</w:t>
            </w:r>
          </w:p>
          <w:p w:rsidR="00000000" w:rsidRPr="00F718A1" w:rsidP="00F718A1">
            <w:pPr>
              <w:pStyle w:val="ListBullet"/>
            </w:pPr>
            <w:r w:rsidRPr="00F718A1">
              <w:t>confirming safety observer is in position in accordance with workplace requirements</w:t>
            </w:r>
          </w:p>
          <w:p w:rsidR="00000000" w:rsidRPr="00F718A1" w:rsidP="00F718A1">
            <w:pPr>
              <w:pStyle w:val="ListBullet"/>
            </w:pPr>
            <w:r w:rsidRPr="00F718A1">
              <w:t>applying energised/live low voltage (LV) working requirements and procedures in accordance with workplace requirements</w:t>
            </w:r>
          </w:p>
          <w:p w:rsidR="00000000" w:rsidRPr="00F718A1" w:rsidP="00F718A1">
            <w:pPr>
              <w:pStyle w:val="ListBullet"/>
            </w:pPr>
            <w:r w:rsidRPr="00F718A1">
              <w:t>connecting LV underground services to at least two (2) of the following:</w:t>
            </w:r>
          </w:p>
          <w:p w:rsidR="00000000" w:rsidRPr="00F718A1" w:rsidP="00F718A1">
            <w:pPr>
              <w:pStyle w:val="ListBullet2"/>
            </w:pPr>
            <w:r w:rsidRPr="00F718A1">
              <w:t>underground pillar/pit connection (single phase)</w:t>
            </w:r>
          </w:p>
          <w:p w:rsidR="00000000" w:rsidRPr="00F718A1" w:rsidP="00F718A1">
            <w:pPr>
              <w:pStyle w:val="ListBullet2"/>
            </w:pPr>
            <w:r w:rsidRPr="00F718A1">
              <w:t>underground pillar/pit connection (three phase)</w:t>
            </w:r>
          </w:p>
          <w:p w:rsidR="00000000" w:rsidRPr="00F718A1" w:rsidP="00F718A1">
            <w:pPr>
              <w:pStyle w:val="ListBullet2"/>
            </w:pPr>
            <w:r w:rsidRPr="00F718A1">
              <w:t>underground to overhead connection</w:t>
            </w:r>
          </w:p>
          <w:p w:rsidR="00000000" w:rsidRPr="00F718A1" w:rsidP="00F718A1">
            <w:pPr>
              <w:pStyle w:val="ListBullet"/>
            </w:pPr>
            <w:r w:rsidRPr="00F718A1">
              <w:t>using the following specialised energised LV equ</w:t>
            </w:r>
            <w:r w:rsidRPr="00F718A1">
              <w:t>ipment:</w:t>
            </w:r>
          </w:p>
          <w:p w:rsidR="00000000" w:rsidRPr="00F718A1" w:rsidP="00F718A1">
            <w:pPr>
              <w:pStyle w:val="ListBullet2"/>
            </w:pPr>
            <w:r w:rsidRPr="00F718A1">
              <w:t>insulating mats/covers</w:t>
            </w:r>
          </w:p>
          <w:p w:rsidR="00000000" w:rsidRPr="00F718A1" w:rsidP="00F718A1">
            <w:pPr>
              <w:pStyle w:val="ListBullet2"/>
            </w:pPr>
            <w:r w:rsidRPr="00F718A1">
              <w:t>insulating gloves</w:t>
            </w:r>
          </w:p>
          <w:p w:rsidR="00000000" w:rsidRPr="00F718A1" w:rsidP="00F718A1">
            <w:pPr>
              <w:pStyle w:val="ListBullet"/>
            </w:pPr>
            <w:r w:rsidRPr="00F718A1">
              <w:tab/>
              <w:t>testing of LV underground service connections, including at least four (4) of the following tests:</w:t>
            </w:r>
          </w:p>
          <w:p w:rsidR="00000000" w:rsidRPr="00F718A1" w:rsidP="00F718A1">
            <w:pPr>
              <w:pStyle w:val="ListBullet2"/>
            </w:pPr>
            <w:r w:rsidRPr="00F718A1">
              <w:t>polarity*</w:t>
            </w:r>
          </w:p>
          <w:p w:rsidR="00000000" w:rsidRPr="00F718A1" w:rsidP="00F718A1">
            <w:pPr>
              <w:pStyle w:val="ListBullet2"/>
            </w:pPr>
            <w:r w:rsidRPr="00F718A1">
              <w:t>neutral integrity*</w:t>
            </w:r>
          </w:p>
          <w:p w:rsidR="00000000" w:rsidRPr="00F718A1" w:rsidP="00F718A1">
            <w:pPr>
              <w:pStyle w:val="ListBullet2"/>
            </w:pPr>
            <w:r w:rsidRPr="00F718A1">
              <w:t>phase rotation</w:t>
            </w:r>
          </w:p>
          <w:p w:rsidR="00000000" w:rsidRPr="00F718A1" w:rsidP="00F718A1">
            <w:pPr>
              <w:pStyle w:val="ListBullet2"/>
            </w:pPr>
            <w:r w:rsidRPr="00F718A1">
              <w:t>continuity</w:t>
            </w:r>
          </w:p>
          <w:p w:rsidR="00000000" w:rsidRPr="00F718A1" w:rsidP="00F718A1">
            <w:pPr>
              <w:pStyle w:val="ListBullet2"/>
            </w:pPr>
            <w:r w:rsidRPr="00F718A1">
              <w:t>voltage</w:t>
            </w:r>
          </w:p>
          <w:p w:rsidR="00000000" w:rsidRPr="00F718A1" w:rsidP="00F718A1">
            <w:pPr>
              <w:pStyle w:val="ListBullet2"/>
            </w:pPr>
            <w:r w:rsidRPr="00F718A1">
              <w:t>insulation resistance</w:t>
            </w:r>
          </w:p>
          <w:p w:rsidR="00000000" w:rsidRPr="00F718A1" w:rsidP="00F718A1">
            <w:pPr>
              <w:pStyle w:val="ListBullet2"/>
            </w:pPr>
            <w:r w:rsidRPr="00F718A1">
              <w:t>(* must do)</w:t>
            </w:r>
          </w:p>
          <w:p w:rsidR="00000000" w:rsidRPr="00F718A1" w:rsidP="00F718A1">
            <w:pPr>
              <w:pStyle w:val="ListBullet"/>
            </w:pPr>
            <w:r w:rsidRPr="00F718A1">
              <w:t>dealing with an unplanned event on at least one (1) occasion</w:t>
            </w:r>
          </w:p>
          <w:p w:rsidR="00000000" w:rsidRPr="00F718A1" w:rsidP="00F718A1">
            <w:pPr>
              <w:pStyle w:val="ListBullet"/>
            </w:pPr>
            <w:r w:rsidRPr="00F718A1">
              <w:t>completing relevant work records, reports and documentation.</w:t>
            </w:r>
          </w:p>
        </w:tc>
      </w:tr>
    </w:tbl>
    <w:p w:rsidR="00000000" w:rsidRPr="00F718A1" w:rsidP="00F718A1">
      <w:pPr>
        <w:pStyle w:val="NoPaddingFontSize1"/>
      </w:pPr>
    </w:p>
    <w:p w:rsidR="00000000" w:rsidRPr="00F718A1" w:rsidP="00F718A1">
      <w:pPr>
        <w:pStyle w:val="AllowPageBreak"/>
      </w:pPr>
    </w:p>
    <w:p w:rsidR="00000000" w:rsidRPr="00F718A1" w:rsidP="00F718A1">
      <w:pPr>
        <w:pStyle w:val="Heading1"/>
      </w:pPr>
      <w:bookmarkStart w:id="3" w:name="O_1179182"/>
      <w:bookmarkEnd w:id="3"/>
      <w:r w:rsidRPr="00F718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A1">
            <w:pPr>
              <w:pStyle w:val="BodyText"/>
              <w:rPr>
                <w:lang w:val="en-NZ"/>
              </w:rPr>
            </w:pPr>
            <w:r w:rsidRPr="00F718A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7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A1" w:rsidP="00F718A1">
            <w:pPr>
              <w:pStyle w:val="ListBullet"/>
            </w:pPr>
            <w:r w:rsidRPr="00F718A1">
              <w:t>relevant legislation, regulations, standards, codes of practice and organi</w:t>
            </w:r>
            <w:r w:rsidRPr="00F718A1">
              <w:t xml:space="preserve">sational workplace requirements, including: </w:t>
            </w:r>
          </w:p>
          <w:p w:rsidR="00000000" w:rsidRPr="00F718A1" w:rsidP="00F718A1">
            <w:pPr>
              <w:pStyle w:val="ListBullet2"/>
            </w:pPr>
            <w:r w:rsidRPr="00F718A1">
              <w:t>WHS/OHS</w:t>
            </w:r>
          </w:p>
          <w:p w:rsidR="00000000" w:rsidRPr="00F718A1" w:rsidP="00F718A1">
            <w:pPr>
              <w:pStyle w:val="ListBullet"/>
            </w:pPr>
            <w:r w:rsidRPr="00F718A1">
              <w:t>hazard, risk assessment and risk control requirements, including potential hazards</w:t>
            </w:r>
          </w:p>
          <w:p w:rsidR="00000000" w:rsidRPr="00F718A1" w:rsidP="00F718A1">
            <w:pPr>
              <w:pStyle w:val="ListBullet"/>
            </w:pPr>
            <w:r w:rsidRPr="00F718A1">
              <w:t>types and application of PPE</w:t>
            </w:r>
          </w:p>
          <w:p w:rsidR="00000000" w:rsidRPr="00F718A1" w:rsidP="00F718A1">
            <w:pPr>
              <w:pStyle w:val="ListBullet"/>
            </w:pPr>
            <w:r w:rsidRPr="00F718A1">
              <w:t xml:space="preserve">safe use of plant, tools and equipment </w:t>
            </w:r>
          </w:p>
          <w:p w:rsidR="00000000" w:rsidRPr="00F718A1" w:rsidP="00F718A1">
            <w:pPr>
              <w:pStyle w:val="ListBullet"/>
            </w:pPr>
            <w:r w:rsidRPr="00F718A1">
              <w:t>safety observer:</w:t>
            </w:r>
          </w:p>
          <w:p w:rsidR="00000000" w:rsidRPr="00F718A1" w:rsidP="00F718A1">
            <w:pPr>
              <w:pStyle w:val="ListBullet2"/>
            </w:pPr>
            <w:r w:rsidRPr="00F718A1">
              <w:t>role and responsibilities</w:t>
            </w:r>
          </w:p>
          <w:p w:rsidR="00000000" w:rsidRPr="00F718A1" w:rsidP="00F718A1">
            <w:pPr>
              <w:pStyle w:val="ListBullet2"/>
            </w:pPr>
            <w:r w:rsidRPr="00F718A1">
              <w:t>communication methods</w:t>
            </w:r>
          </w:p>
          <w:p w:rsidR="00000000" w:rsidRPr="00F718A1" w:rsidP="00F718A1">
            <w:pPr>
              <w:pStyle w:val="ListBullet"/>
            </w:pPr>
            <w:r w:rsidRPr="00F718A1">
              <w:t>events constituting an unplanned event or incident</w:t>
            </w:r>
          </w:p>
          <w:p w:rsidR="00000000" w:rsidRPr="00F718A1" w:rsidP="00F718A1">
            <w:pPr>
              <w:pStyle w:val="ListBullet"/>
            </w:pPr>
            <w:r w:rsidRPr="00F718A1">
              <w:t>procedures for responding to an unplanned event or incident</w:t>
            </w:r>
          </w:p>
          <w:p w:rsidR="00000000" w:rsidRPr="00F718A1" w:rsidP="00F718A1">
            <w:pPr>
              <w:pStyle w:val="ListBullet"/>
            </w:pPr>
            <w:r w:rsidRPr="00F718A1">
              <w:t>requirements for the use of workplace construction manuals, system diagrams/plans and drawings, including:</w:t>
            </w:r>
          </w:p>
          <w:p w:rsidR="00000000" w:rsidRPr="00F718A1" w:rsidP="00F718A1">
            <w:pPr>
              <w:pStyle w:val="ListBullet2"/>
            </w:pPr>
            <w:r w:rsidRPr="00F718A1">
              <w:t>types of LV un</w:t>
            </w:r>
            <w:r w:rsidRPr="00F718A1">
              <w:t>derground services</w:t>
            </w:r>
          </w:p>
          <w:p w:rsidR="00000000" w:rsidRPr="00F718A1" w:rsidP="00F718A1">
            <w:pPr>
              <w:pStyle w:val="ListBullet2"/>
            </w:pPr>
            <w:r w:rsidRPr="00F718A1">
              <w:t>methods of construction and installation</w:t>
            </w:r>
          </w:p>
          <w:p w:rsidR="00000000" w:rsidRPr="00F718A1" w:rsidP="00F718A1">
            <w:pPr>
              <w:pStyle w:val="ListBullet2"/>
            </w:pPr>
            <w:r w:rsidRPr="00F718A1">
              <w:t>minimum depths for underground services to be buried and proximity to other assets and structures</w:t>
            </w:r>
          </w:p>
          <w:p w:rsidR="00000000" w:rsidRPr="00F718A1" w:rsidP="00F718A1">
            <w:pPr>
              <w:pStyle w:val="ListBullet"/>
            </w:pPr>
            <w:r w:rsidRPr="00F718A1">
              <w:t>materials for underground service installation</w:t>
            </w:r>
          </w:p>
          <w:p w:rsidR="00000000" w:rsidRPr="00F718A1" w:rsidP="00F718A1">
            <w:pPr>
              <w:pStyle w:val="ListBullet"/>
            </w:pPr>
            <w:r w:rsidRPr="00F718A1">
              <w:t>methods of laying underground service cables</w:t>
            </w:r>
          </w:p>
          <w:p w:rsidR="00000000" w:rsidRPr="00F718A1" w:rsidP="00F718A1">
            <w:pPr>
              <w:pStyle w:val="ListBullet"/>
            </w:pPr>
            <w:r w:rsidRPr="00F718A1">
              <w:t>characteristics and applications of different types of cables</w:t>
            </w:r>
          </w:p>
          <w:p w:rsidR="00000000" w:rsidRPr="00F718A1" w:rsidP="00F718A1">
            <w:pPr>
              <w:pStyle w:val="ListBullet"/>
            </w:pPr>
            <w:r w:rsidRPr="00F718A1">
              <w:t>diagnosis and repair of faults</w:t>
            </w:r>
          </w:p>
          <w:p w:rsidR="00000000" w:rsidRPr="00F718A1" w:rsidP="00F718A1">
            <w:pPr>
              <w:pStyle w:val="ListBullet"/>
            </w:pPr>
            <w:r w:rsidRPr="00F718A1">
              <w:t>jointing and terminating methods in a:</w:t>
            </w:r>
          </w:p>
          <w:p w:rsidR="00000000" w:rsidRPr="00F718A1" w:rsidP="00F718A1">
            <w:pPr>
              <w:pStyle w:val="ListBullet2"/>
            </w:pPr>
            <w:r w:rsidRPr="00F718A1">
              <w:t>fuse box</w:t>
            </w:r>
          </w:p>
          <w:p w:rsidR="00000000" w:rsidRPr="00F718A1" w:rsidP="00F718A1">
            <w:pPr>
              <w:pStyle w:val="ListBullet2"/>
            </w:pPr>
            <w:r w:rsidRPr="00F718A1">
              <w:t>pillar and pit</w:t>
            </w:r>
          </w:p>
          <w:p w:rsidR="00000000" w:rsidRPr="00F718A1" w:rsidP="00F718A1">
            <w:pPr>
              <w:pStyle w:val="ListBullet2"/>
            </w:pPr>
            <w:r w:rsidRPr="00F718A1">
              <w:t>customer installation</w:t>
            </w:r>
          </w:p>
          <w:p w:rsidR="00000000" w:rsidRPr="00F718A1" w:rsidP="00F718A1">
            <w:pPr>
              <w:pStyle w:val="ListBullet"/>
            </w:pPr>
            <w:r w:rsidRPr="00F718A1">
              <w:t>testing and commissioning underground services, including:</w:t>
            </w:r>
          </w:p>
          <w:p w:rsidR="00000000" w:rsidRPr="00F718A1" w:rsidP="00F718A1">
            <w:pPr>
              <w:pStyle w:val="ListBullet2"/>
            </w:pPr>
            <w:r w:rsidRPr="00F718A1">
              <w:t>pre-energising t</w:t>
            </w:r>
            <w:r w:rsidRPr="00F718A1">
              <w:t>ests - insulation resistance and continuity test</w:t>
            </w:r>
          </w:p>
          <w:p w:rsidR="00000000" w:rsidRPr="00F718A1" w:rsidP="00F718A1">
            <w:pPr>
              <w:pStyle w:val="ListBullet2"/>
            </w:pPr>
            <w:r w:rsidRPr="00F718A1">
              <w:t>inspection</w:t>
            </w:r>
          </w:p>
          <w:p w:rsidR="00000000" w:rsidRPr="00F718A1" w:rsidP="00F718A1">
            <w:pPr>
              <w:pStyle w:val="ListBullet2"/>
            </w:pPr>
            <w:r w:rsidRPr="00F718A1">
              <w:t>test equipment functionality and interpretation</w:t>
            </w:r>
          </w:p>
          <w:p w:rsidR="00000000" w:rsidRPr="00F718A1" w:rsidP="00F718A1">
            <w:pPr>
              <w:pStyle w:val="ListBullet2"/>
            </w:pPr>
            <w:r w:rsidRPr="00F718A1">
              <w:t>polarity, voltage and phase sequence tests</w:t>
            </w:r>
          </w:p>
          <w:p w:rsidR="00000000" w:rsidRPr="00F718A1" w:rsidP="00F718A1">
            <w:pPr>
              <w:pStyle w:val="ListBullet2"/>
            </w:pPr>
            <w:r w:rsidRPr="00F718A1">
              <w:t>neutral and phase identification tests</w:t>
            </w:r>
          </w:p>
          <w:p w:rsidR="00000000" w:rsidRPr="00F718A1" w:rsidP="00F718A1">
            <w:pPr>
              <w:pStyle w:val="ListBullet2"/>
            </w:pPr>
            <w:r w:rsidRPr="00F718A1">
              <w:t>neutral integrity tests</w:t>
            </w:r>
          </w:p>
          <w:p w:rsidR="00000000" w:rsidRPr="00F718A1" w:rsidP="00F718A1">
            <w:pPr>
              <w:pStyle w:val="ListBullet2"/>
            </w:pPr>
            <w:r w:rsidRPr="00F718A1">
              <w:t>recording results</w:t>
            </w:r>
          </w:p>
          <w:p w:rsidR="00000000" w:rsidRPr="00F718A1" w:rsidP="00F718A1">
            <w:pPr>
              <w:pStyle w:val="ListBullet"/>
            </w:pPr>
            <w:r w:rsidRPr="00F718A1">
              <w:t>connection principles, including:</w:t>
            </w:r>
          </w:p>
          <w:p w:rsidR="00000000" w:rsidRPr="00F718A1" w:rsidP="00F718A1">
            <w:pPr>
              <w:pStyle w:val="ListBullet2"/>
            </w:pPr>
            <w:r w:rsidRPr="00F718A1">
              <w:t>energised/live work requirements and procedures</w:t>
            </w:r>
          </w:p>
          <w:p w:rsidR="00000000" w:rsidRPr="00F718A1" w:rsidP="00F718A1">
            <w:pPr>
              <w:pStyle w:val="ListBullet2"/>
            </w:pPr>
            <w:r w:rsidRPr="00F718A1">
              <w:t>purpose and function of multiple earth neutral (MEN) system</w:t>
            </w:r>
          </w:p>
          <w:p w:rsidR="00000000" w:rsidRPr="00F718A1" w:rsidP="00F718A1">
            <w:pPr>
              <w:pStyle w:val="ListBullet2"/>
            </w:pPr>
            <w:r w:rsidRPr="00F718A1">
              <w:t>types of connection faults</w:t>
            </w:r>
          </w:p>
          <w:p w:rsidR="00000000" w:rsidRPr="00F718A1" w:rsidP="00F718A1">
            <w:pPr>
              <w:pStyle w:val="ListBullet2"/>
            </w:pPr>
            <w:r w:rsidRPr="00F718A1">
              <w:t>causes and effects of incorrect and poor electrical connections</w:t>
            </w:r>
          </w:p>
          <w:p w:rsidR="00000000" w:rsidRPr="00F718A1" w:rsidP="00F718A1">
            <w:pPr>
              <w:pStyle w:val="ListBullet2"/>
            </w:pPr>
            <w:r w:rsidRPr="00F718A1">
              <w:t>principles of loop imp</w:t>
            </w:r>
            <w:r w:rsidRPr="00F718A1">
              <w:t>edance</w:t>
            </w:r>
          </w:p>
          <w:p w:rsidR="00000000" w:rsidRPr="00F718A1" w:rsidP="00F718A1">
            <w:pPr>
              <w:pStyle w:val="ListBullet2"/>
            </w:pPr>
            <w:r w:rsidRPr="00F718A1">
              <w:t>reasons for and methods used to maintain standard phase sequencing</w:t>
            </w:r>
          </w:p>
          <w:p w:rsidR="00000000" w:rsidRPr="00F718A1" w:rsidP="00F718A1">
            <w:pPr>
              <w:pStyle w:val="ListBullet2"/>
            </w:pPr>
            <w:r w:rsidRPr="00F718A1">
              <w:t>purpose and operation of service fusing</w:t>
            </w:r>
          </w:p>
          <w:p w:rsidR="00000000" w:rsidRPr="00F718A1" w:rsidP="00F718A1">
            <w:pPr>
              <w:pStyle w:val="ListBullet2"/>
            </w:pPr>
            <w:r w:rsidRPr="00F718A1">
              <w:t>use of independent earth for testing.</w:t>
            </w:r>
          </w:p>
        </w:tc>
      </w:tr>
    </w:tbl>
    <w:p w:rsidR="00000000" w:rsidRPr="00F718A1" w:rsidP="00F718A1">
      <w:pPr>
        <w:pStyle w:val="NoPaddingFontSize1"/>
      </w:pPr>
    </w:p>
    <w:p w:rsidR="00000000" w:rsidRPr="00F718A1" w:rsidP="00F718A1">
      <w:pPr>
        <w:pStyle w:val="AllowPageBreak"/>
      </w:pPr>
    </w:p>
    <w:p w:rsidR="00000000" w:rsidRPr="00F718A1" w:rsidP="00F718A1">
      <w:pPr>
        <w:pStyle w:val="Heading1"/>
      </w:pPr>
      <w:bookmarkStart w:id="4" w:name="O_1179183"/>
      <w:bookmarkEnd w:id="4"/>
      <w:r w:rsidRPr="00F718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A1" w:rsidP="00F718A1">
            <w:pPr>
              <w:pStyle w:val="BodyText"/>
            </w:pPr>
            <w:r w:rsidRPr="00F718A1">
              <w:t xml:space="preserve">Assessors must hold credentials </w:t>
            </w:r>
            <w:r w:rsidRPr="00F718A1">
              <w:t>specified within the Standards for Registered Training Organisations current at the time of assessment.</w:t>
            </w:r>
          </w:p>
          <w:p w:rsidR="00000000" w:rsidRPr="00F718A1" w:rsidP="00F718A1">
            <w:pPr>
              <w:pStyle w:val="BodyText"/>
            </w:pPr>
            <w:r w:rsidRPr="00F718A1">
              <w:t xml:space="preserve">Assessment must satisfy the Principles of Assessment and Rules of Evidence and all regulatory requirements included within the Standards for Registered </w:t>
            </w:r>
            <w:r w:rsidRPr="00F718A1">
              <w:t>Training Organisations current at the time of assessment.</w:t>
            </w:r>
          </w:p>
          <w:p w:rsidR="00000000" w:rsidRPr="00F718A1" w:rsidP="00F718A1">
            <w:pPr>
              <w:pStyle w:val="BodyText"/>
            </w:pPr>
            <w:r w:rsidRPr="00F718A1">
              <w:t xml:space="preserve">Assessment must occur in workplace operational situations, where it is appropriate to do so. </w:t>
            </w:r>
          </w:p>
          <w:p w:rsidR="00000000" w:rsidRPr="00F718A1" w:rsidP="00F718A1">
            <w:pPr>
              <w:pStyle w:val="BodyText"/>
            </w:pPr>
            <w:r w:rsidRPr="00F718A1">
              <w:t>Where this is not appropriate, assessment must occur in simulated conditions involving realistic and aut</w:t>
            </w:r>
            <w:r w:rsidRPr="00F718A1">
              <w:t>hentic activities that replicate operational workplace conditions.</w:t>
            </w:r>
          </w:p>
          <w:p w:rsidR="00000000" w:rsidRPr="00F718A1" w:rsidP="00F718A1">
            <w:pPr>
              <w:pStyle w:val="BodyText"/>
            </w:pPr>
            <w:r w:rsidRPr="00F718A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718A1" w:rsidP="00F718A1">
            <w:pPr>
              <w:pStyle w:val="BodyText"/>
            </w:pPr>
            <w:r w:rsidRPr="00F718A1">
              <w:t>Resources for assessm</w:t>
            </w:r>
            <w:r w:rsidRPr="00F718A1">
              <w:t>ent must include access to:</w:t>
            </w:r>
          </w:p>
          <w:p w:rsidR="00000000" w:rsidRPr="00F718A1" w:rsidP="00F718A1">
            <w:pPr>
              <w:pStyle w:val="ListBullet"/>
            </w:pPr>
            <w:r w:rsidRPr="00F718A1">
              <w:t>relevant and appropriate materials, tools, facilities, equipment and PPE currently used in industry for installing and maintaining LV underground services</w:t>
            </w:r>
          </w:p>
          <w:p w:rsidR="00000000" w:rsidRPr="00F718A1" w:rsidP="00F718A1">
            <w:pPr>
              <w:pStyle w:val="ListBullet"/>
            </w:pPr>
            <w:r w:rsidRPr="00F718A1">
              <w:t>applicable documentation, including workplace requirements, relevant ind</w:t>
            </w:r>
            <w:r w:rsidRPr="00F718A1">
              <w:t>ustry standards, equipment specifications, regulations, codes of practice and operation manuals.</w:t>
            </w:r>
          </w:p>
        </w:tc>
      </w:tr>
    </w:tbl>
    <w:p w:rsidR="00000000" w:rsidRPr="00F718A1" w:rsidP="00F718A1">
      <w:pPr>
        <w:pStyle w:val="NoPaddingFontSize1"/>
      </w:pPr>
    </w:p>
    <w:p w:rsidR="00000000" w:rsidRPr="00F718A1" w:rsidP="00F718A1">
      <w:pPr>
        <w:pStyle w:val="AllowPageBreak"/>
      </w:pPr>
    </w:p>
    <w:p w:rsidR="00000000" w:rsidRPr="00F718A1" w:rsidP="00F718A1">
      <w:pPr>
        <w:pStyle w:val="Heading1"/>
      </w:pPr>
      <w:bookmarkStart w:id="5" w:name="O_1179186"/>
      <w:bookmarkEnd w:id="5"/>
      <w:r w:rsidRPr="00F718A1">
        <w:t>Links</w:t>
      </w:r>
    </w:p>
    <w:p w:rsidR="00000000" w:rsidRPr="00F718A1" w:rsidP="00C5421F">
      <w:pPr>
        <w:pStyle w:val="BodyText"/>
      </w:pPr>
      <w:r w:rsidRPr="00F718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23B5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718A1" w:rsidP="00F718A1"/>
    <w:sectPr w:rsidSect="00F718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A1" w:rsidRPr="00C5421F" w:rsidP="00C542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1F" w:rsidP="00F71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21F" w:rsidP="00F71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5421F" w:rsidP="00F71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8A1" w:rsidRPr="00C5421F" w:rsidP="00C542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1F" w:rsidRPr="002D2AF8" w:rsidP="00F71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UETDRIS011 Install and maintain low voltage underground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5421F" w:rsidP="00F71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96C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18D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FAD8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8A1"/>
  </w:style>
  <w:style w:type="character" w:customStyle="1" w:styleId="Heading1Char">
    <w:name w:val="Heading 1 Char"/>
    <w:basedOn w:val="DefaultParagraphFont"/>
    <w:link w:val="Heading1"/>
    <w:rsid w:val="00F71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8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18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1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1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18A1"/>
    <w:rPr>
      <w:b/>
      <w:spacing w:val="0"/>
    </w:rPr>
  </w:style>
  <w:style w:type="paragraph" w:customStyle="1" w:styleId="SuperTitle">
    <w:name w:val="SuperTitle"/>
    <w:basedOn w:val="Title"/>
    <w:rsid w:val="00F71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1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8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8A1"/>
    <w:rPr>
      <w:i/>
    </w:rPr>
  </w:style>
  <w:style w:type="paragraph" w:styleId="Caption">
    <w:name w:val="caption"/>
    <w:basedOn w:val="BodyText"/>
    <w:next w:val="Normal"/>
    <w:qFormat/>
    <w:rsid w:val="00F71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8A1"/>
  </w:style>
  <w:style w:type="paragraph" w:styleId="TableofFigures">
    <w:name w:val="table of figures"/>
    <w:basedOn w:val="Normal"/>
    <w:next w:val="Normal"/>
    <w:semiHidden/>
    <w:rsid w:val="00F71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8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18A1"/>
    <w:rPr>
      <w:rFonts w:ascii="Wingdings" w:hAnsi="Wingdings"/>
    </w:rPr>
  </w:style>
  <w:style w:type="paragraph" w:customStyle="1" w:styleId="TableHeading">
    <w:name w:val="Table Heading"/>
    <w:basedOn w:val="HeadingBase"/>
    <w:rsid w:val="00F71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8A1"/>
    <w:rPr>
      <w:color w:val="0033CC"/>
      <w:u w:val="none"/>
    </w:rPr>
  </w:style>
  <w:style w:type="paragraph" w:customStyle="1" w:styleId="BodyTextRight">
    <w:name w:val="Body Text Right"/>
    <w:basedOn w:val="BodyText"/>
    <w:rsid w:val="00F71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8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8A1"/>
    <w:rPr>
      <w:sz w:val="32"/>
    </w:rPr>
  </w:style>
  <w:style w:type="paragraph" w:customStyle="1" w:styleId="HeadingProcedure">
    <w:name w:val="Heading Procedure"/>
    <w:basedOn w:val="HeadingBase"/>
    <w:next w:val="Normal"/>
    <w:rsid w:val="00F71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8A1"/>
    <w:pPr>
      <w:spacing w:before="60" w:after="60"/>
    </w:pPr>
  </w:style>
  <w:style w:type="paragraph" w:styleId="ListContinue">
    <w:name w:val="List Continue"/>
    <w:basedOn w:val="List"/>
    <w:rsid w:val="00F718A1"/>
    <w:pPr>
      <w:ind w:firstLine="0"/>
    </w:pPr>
  </w:style>
  <w:style w:type="paragraph" w:customStyle="1" w:styleId="ListNote">
    <w:name w:val="List Note"/>
    <w:basedOn w:val="List"/>
    <w:rsid w:val="00F71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8A1"/>
    <w:rPr>
      <w:rFonts w:ascii="Courier New" w:hAnsi="Courier New"/>
    </w:rPr>
  </w:style>
  <w:style w:type="paragraph" w:customStyle="1" w:styleId="NoteBullet">
    <w:name w:val="Note Bullet"/>
    <w:basedOn w:val="Note"/>
    <w:rsid w:val="00F71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8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1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8A1"/>
    <w:rPr>
      <w:b/>
      <w:smallCaps/>
    </w:rPr>
  </w:style>
  <w:style w:type="paragraph" w:customStyle="1" w:styleId="TableListNumber">
    <w:name w:val="Table List Number"/>
    <w:basedOn w:val="ListNumber"/>
    <w:rsid w:val="00F71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8A1"/>
    <w:pPr>
      <w:numPr>
        <w:numId w:val="9"/>
      </w:numPr>
    </w:pPr>
  </w:style>
  <w:style w:type="paragraph" w:customStyle="1" w:styleId="ListAlpha2">
    <w:name w:val="List Alpha 2"/>
    <w:basedOn w:val="List2"/>
    <w:rsid w:val="00F718A1"/>
    <w:pPr>
      <w:numPr>
        <w:numId w:val="8"/>
      </w:numPr>
    </w:pPr>
  </w:style>
  <w:style w:type="paragraph" w:styleId="List2">
    <w:name w:val="List 2"/>
    <w:basedOn w:val="BodyText"/>
    <w:rsid w:val="00F71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8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8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18A1"/>
    <w:pPr>
      <w:numPr>
        <w:numId w:val="4"/>
      </w:numPr>
    </w:pPr>
  </w:style>
  <w:style w:type="paragraph" w:styleId="ListContinue2">
    <w:name w:val="List Continue 2"/>
    <w:basedOn w:val="List2"/>
    <w:rsid w:val="00F718A1"/>
    <w:pPr>
      <w:ind w:firstLine="0"/>
    </w:pPr>
  </w:style>
  <w:style w:type="paragraph" w:styleId="ListContinue3">
    <w:name w:val="List Continue 3"/>
    <w:basedOn w:val="List3"/>
    <w:rsid w:val="00F718A1"/>
    <w:pPr>
      <w:ind w:left="1021" w:firstLine="0"/>
    </w:pPr>
  </w:style>
  <w:style w:type="paragraph" w:styleId="ListContinue4">
    <w:name w:val="List Continue 4"/>
    <w:basedOn w:val="List4"/>
    <w:rsid w:val="00F718A1"/>
    <w:pPr>
      <w:ind w:firstLine="0"/>
    </w:pPr>
  </w:style>
  <w:style w:type="paragraph" w:styleId="ListContinue5">
    <w:name w:val="List Continue 5"/>
    <w:basedOn w:val="List5"/>
    <w:rsid w:val="00F718A1"/>
    <w:pPr>
      <w:ind w:firstLine="0"/>
    </w:pPr>
  </w:style>
  <w:style w:type="paragraph" w:styleId="ListNumber3">
    <w:name w:val="List Number 3"/>
    <w:basedOn w:val="List3"/>
    <w:rsid w:val="00F718A1"/>
    <w:pPr>
      <w:numPr>
        <w:numId w:val="5"/>
      </w:numPr>
    </w:pPr>
  </w:style>
  <w:style w:type="paragraph" w:styleId="ListNumber4">
    <w:name w:val="List Number 4"/>
    <w:basedOn w:val="List4"/>
    <w:rsid w:val="00F718A1"/>
    <w:pPr>
      <w:numPr>
        <w:numId w:val="6"/>
      </w:numPr>
    </w:pPr>
  </w:style>
  <w:style w:type="paragraph" w:styleId="ListNumber5">
    <w:name w:val="List Number 5"/>
    <w:basedOn w:val="List5"/>
    <w:rsid w:val="00F718A1"/>
    <w:pPr>
      <w:numPr>
        <w:numId w:val="7"/>
      </w:numPr>
    </w:pPr>
  </w:style>
  <w:style w:type="paragraph" w:styleId="BlockText">
    <w:name w:val="Block Text"/>
    <w:basedOn w:val="Normal"/>
    <w:rsid w:val="00F71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8A1"/>
    <w:rPr>
      <w:sz w:val="16"/>
      <w:vertAlign w:val="superscript"/>
    </w:rPr>
  </w:style>
  <w:style w:type="character" w:customStyle="1" w:styleId="Symbols">
    <w:name w:val="Symbols"/>
    <w:basedOn w:val="DefaultParagraphFont"/>
    <w:rsid w:val="00F718A1"/>
    <w:rPr>
      <w:rFonts w:ascii="Symbol" w:hAnsi="Symbol"/>
    </w:rPr>
  </w:style>
  <w:style w:type="character" w:customStyle="1" w:styleId="MenuOptions">
    <w:name w:val="Menu Options"/>
    <w:basedOn w:val="DefaultParagraphFont"/>
    <w:rsid w:val="00F71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8A1"/>
    <w:rPr>
      <w:b/>
    </w:rPr>
  </w:style>
  <w:style w:type="character" w:customStyle="1" w:styleId="Underlined">
    <w:name w:val="Underlined"/>
    <w:basedOn w:val="DefaultParagraphFont"/>
    <w:rsid w:val="00F718A1"/>
    <w:rPr>
      <w:u w:val="single"/>
    </w:rPr>
  </w:style>
  <w:style w:type="paragraph" w:customStyle="1" w:styleId="TableBodyTextRight">
    <w:name w:val="Table Body Text Right"/>
    <w:basedOn w:val="TableBodyText"/>
    <w:rsid w:val="00F71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8A1"/>
    <w:rPr>
      <w:sz w:val="18"/>
    </w:rPr>
  </w:style>
  <w:style w:type="paragraph" w:customStyle="1" w:styleId="BodySmallRight">
    <w:name w:val="Body Small Right"/>
    <w:basedOn w:val="BodyTextRight"/>
    <w:rsid w:val="00F718A1"/>
    <w:rPr>
      <w:sz w:val="18"/>
      <w:szCs w:val="18"/>
    </w:rPr>
  </w:style>
  <w:style w:type="paragraph" w:customStyle="1" w:styleId="MarginEdition">
    <w:name w:val="Margin Edition"/>
    <w:basedOn w:val="MarginNote"/>
    <w:rsid w:val="00F71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8A1"/>
    <w:rPr>
      <w:sz w:val="2"/>
      <w:szCs w:val="2"/>
    </w:rPr>
  </w:style>
  <w:style w:type="character" w:customStyle="1" w:styleId="Small">
    <w:name w:val="Small"/>
    <w:basedOn w:val="DefaultParagraphFont"/>
    <w:rsid w:val="00F718A1"/>
    <w:rPr>
      <w:sz w:val="16"/>
    </w:rPr>
  </w:style>
  <w:style w:type="paragraph" w:customStyle="1" w:styleId="WideTable">
    <w:name w:val="Wide Table"/>
    <w:basedOn w:val="Normal"/>
    <w:rsid w:val="00F71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8A1"/>
  </w:style>
  <w:style w:type="paragraph" w:styleId="Quote">
    <w:name w:val="Quote"/>
    <w:basedOn w:val="Heading1"/>
    <w:link w:val="QuoteChar"/>
    <w:qFormat/>
    <w:rsid w:val="00F71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8A1"/>
    <w:pPr>
      <w:pageBreakBefore/>
    </w:pPr>
  </w:style>
  <w:style w:type="paragraph" w:customStyle="1" w:styleId="Border">
    <w:name w:val="Border"/>
    <w:basedOn w:val="Normal"/>
    <w:qFormat/>
    <w:rsid w:val="00F71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8A1"/>
    <w:rPr>
      <w:u w:val="single"/>
    </w:rPr>
  </w:style>
  <w:style w:type="character" w:customStyle="1" w:styleId="BoldandItalics">
    <w:name w:val="Bold and Italics"/>
    <w:qFormat/>
    <w:rsid w:val="00F718A1"/>
    <w:rPr>
      <w:b/>
      <w:i/>
      <w:u w:val="none"/>
    </w:rPr>
  </w:style>
  <w:style w:type="paragraph" w:styleId="BalloonText">
    <w:name w:val="Balloon Text"/>
    <w:basedOn w:val="Normal"/>
    <w:link w:val="BalloonTextChar"/>
    <w:rsid w:val="00F71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8A1"/>
    <w:pPr>
      <w:spacing w:before="0" w:after="0"/>
    </w:pPr>
  </w:style>
  <w:style w:type="paragraph" w:customStyle="1" w:styleId="BodyTextBold">
    <w:name w:val="Body Text Bold"/>
    <w:basedOn w:val="BodyText"/>
    <w:qFormat/>
    <w:rsid w:val="00F718A1"/>
    <w:rPr>
      <w:b/>
    </w:rPr>
  </w:style>
  <w:style w:type="character" w:styleId="Hyperlink">
    <w:name w:val="Hyperlink"/>
    <w:basedOn w:val="DefaultParagraphFont"/>
    <w:uiPriority w:val="99"/>
    <w:unhideWhenUsed/>
    <w:rsid w:val="00C542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4586</Characters>
  <Application>Microsoft Office Word</Application>
  <DocSecurity>0</DocSecurity>
  <Lines>117</Lines>
  <Paragraphs>97</Paragraphs>
  <ScaleCrop>false</ScaleCrop>
  <Company>Author-it Software Corporation Ltd.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UETDRIS011 Install and maintain low voltage underground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