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713" w:rsidP="00707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UETDREL006 Work safely in the vicinity of live electrical apparatus as a non-electrical worker</w:t>
      </w:r>
      <w:r>
        <w:fldChar w:fldCharType="end"/>
      </w:r>
    </w:p>
    <w:p w:rsidR="00707713" w:rsidP="00707713">
      <w:pPr>
        <w:pStyle w:val="Version"/>
        <w:sectPr w:rsidSect="005B0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0B61" w:rsidP="005B0B61">
      <w:pPr>
        <w:pStyle w:val="SuperHeading"/>
      </w:pPr>
      <w:r w:rsidRPr="005B0B61">
        <w:t>Assessment Requirements for UETDREL006 Work safely in the vicinity of live electrical apparatus as a non-electrical worker</w:t>
      </w:r>
    </w:p>
    <w:p w:rsidR="00000000" w:rsidRPr="005B0B61" w:rsidP="005B0B61">
      <w:pPr>
        <w:pStyle w:val="Heading1"/>
      </w:pPr>
      <w:bookmarkStart w:id="1" w:name="O_1267061"/>
      <w:bookmarkEnd w:id="1"/>
      <w:r w:rsidRPr="005B0B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B61" w:rsidP="005B0B61">
            <w:pPr>
              <w:pStyle w:val="BodyText"/>
            </w:pPr>
            <w:r w:rsidRPr="005B0B61">
              <w:t xml:space="preserve">Release 2. Amended Competency Field. </w:t>
            </w:r>
          </w:p>
          <w:p w:rsidR="00000000" w:rsidRPr="005B0B61" w:rsidP="005B0B61">
            <w:pPr>
              <w:pStyle w:val="BodyText"/>
            </w:pPr>
            <w:r w:rsidRPr="005B0B6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B0B61" w:rsidP="005B0B61">
      <w:pPr>
        <w:pStyle w:val="NoPaddingFontSize1"/>
      </w:pPr>
    </w:p>
    <w:p w:rsidR="00000000" w:rsidRPr="005B0B61" w:rsidP="005B0B61">
      <w:pPr>
        <w:pStyle w:val="AllowPageBreak"/>
      </w:pPr>
    </w:p>
    <w:p w:rsidR="00000000" w:rsidRPr="005B0B61" w:rsidP="005B0B61">
      <w:pPr>
        <w:pStyle w:val="Heading1"/>
      </w:pPr>
      <w:bookmarkStart w:id="2" w:name="O_1267060"/>
      <w:bookmarkEnd w:id="2"/>
      <w:r w:rsidRPr="005B0B6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B61">
            <w:pPr>
              <w:pStyle w:val="BodyText"/>
              <w:rPr>
                <w:lang w:val="en-NZ"/>
              </w:rPr>
            </w:pPr>
            <w:r w:rsidRPr="005B0B61">
              <w:t>Evidence required to demonstrate competence in this unit must be r</w:t>
            </w:r>
            <w:r w:rsidRPr="005B0B61">
              <w:t xml:space="preserve">elevant to and satisfy all of the requirements of the elements and performance criteria on at least two separate occasions and include:  </w:t>
            </w:r>
          </w:p>
        </w:tc>
      </w:tr>
      <w:tr w:rsidTr="005B0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B61" w:rsidP="005B0B61">
            <w:pPr>
              <w:pStyle w:val="ListBullet"/>
            </w:pPr>
            <w:r w:rsidRPr="005B0B61">
              <w:t xml:space="preserve">applying relevant legislation, regulations, standards, codes of practice and organisational workplace requirements, </w:t>
            </w:r>
            <w:r w:rsidRPr="005B0B61">
              <w:t>including:</w:t>
            </w:r>
          </w:p>
          <w:p w:rsidR="00000000" w:rsidRPr="005B0B61" w:rsidP="005B0B61">
            <w:pPr>
              <w:pStyle w:val="ListBullet2"/>
            </w:pPr>
            <w:r w:rsidRPr="005B0B61">
              <w:t>work health and safety (WHS)/occupational health and safety (OHS)</w:t>
            </w:r>
          </w:p>
          <w:p w:rsidR="00000000" w:rsidRPr="005B0B61" w:rsidP="005B0B61">
            <w:pPr>
              <w:pStyle w:val="ListBullet"/>
            </w:pPr>
            <w:r w:rsidRPr="005B0B61">
              <w:t>identifying hazards, assessing risks, identifying, applying and monitoring control measures</w:t>
            </w:r>
          </w:p>
          <w:p w:rsidR="00000000" w:rsidRPr="005B0B61" w:rsidP="005B0B61">
            <w:pPr>
              <w:pStyle w:val="ListBullet"/>
            </w:pPr>
            <w:r w:rsidRPr="005B0B61">
              <w:t>obtaining, inspecting and using relevant personal protective equipment (PPE)</w:t>
            </w:r>
          </w:p>
          <w:p w:rsidR="00000000" w:rsidRPr="005B0B61" w:rsidP="005B0B61">
            <w:pPr>
              <w:pStyle w:val="ListBullet"/>
            </w:pPr>
            <w:r w:rsidRPr="005B0B61">
              <w:t>determining communication method with safety observer</w:t>
            </w:r>
          </w:p>
          <w:p w:rsidR="00000000" w:rsidRPr="005B0B61" w:rsidP="005B0B61">
            <w:pPr>
              <w:pStyle w:val="ListBullet"/>
            </w:pPr>
            <w:r w:rsidRPr="005B0B61">
              <w:t>confirming safety observer is in position in accordance with workplace requirements</w:t>
            </w:r>
          </w:p>
          <w:p w:rsidR="00000000" w:rsidRPr="005B0B61" w:rsidP="005B0B61">
            <w:pPr>
              <w:pStyle w:val="ListBullet"/>
            </w:pPr>
            <w:r w:rsidRPr="005B0B61">
              <w:t>confirming and maintaining the safe approach distance, including:</w:t>
            </w:r>
          </w:p>
          <w:p w:rsidR="00000000" w:rsidRPr="005B0B61" w:rsidP="005B0B61">
            <w:pPr>
              <w:pStyle w:val="ListBullet2"/>
            </w:pPr>
            <w:r w:rsidRPr="005B0B61">
              <w:t>mobile plant, tools and equipment</w:t>
            </w:r>
          </w:p>
          <w:p w:rsidR="00000000" w:rsidRPr="005B0B61" w:rsidP="005B0B61">
            <w:pPr>
              <w:pStyle w:val="ListBullet2"/>
            </w:pPr>
            <w:r w:rsidRPr="005B0B61">
              <w:t xml:space="preserve">personal </w:t>
            </w:r>
          </w:p>
          <w:p w:rsidR="00000000" w:rsidRPr="005B0B61" w:rsidP="005B0B61">
            <w:pPr>
              <w:pStyle w:val="ListBullet"/>
            </w:pPr>
            <w:r w:rsidRPr="005B0B61">
              <w:t>determ</w:t>
            </w:r>
            <w:r w:rsidRPr="005B0B61">
              <w:t xml:space="preserve">ining electricity network voltages, including: </w:t>
            </w:r>
          </w:p>
          <w:p w:rsidR="00000000" w:rsidRPr="005B0B61" w:rsidP="005B0B61">
            <w:pPr>
              <w:pStyle w:val="ListBullet2"/>
            </w:pPr>
            <w:r w:rsidRPr="005B0B61">
              <w:t xml:space="preserve">low voltage (LV) </w:t>
            </w:r>
          </w:p>
          <w:p w:rsidR="00000000" w:rsidRPr="005B0B61" w:rsidP="005B0B61">
            <w:pPr>
              <w:pStyle w:val="ListBullet2"/>
            </w:pPr>
            <w:r w:rsidRPr="005B0B61">
              <w:t xml:space="preserve">high voltages (HV) </w:t>
            </w:r>
          </w:p>
          <w:p w:rsidR="00000000" w:rsidRPr="005B0B61" w:rsidP="005B0B61">
            <w:pPr>
              <w:pStyle w:val="ListBullet"/>
            </w:pPr>
            <w:r w:rsidRPr="005B0B61">
              <w:t>identifying electricity network assets</w:t>
            </w:r>
          </w:p>
          <w:p w:rsidR="00000000" w:rsidRPr="005B0B61" w:rsidP="005B0B61">
            <w:pPr>
              <w:pStyle w:val="ListBullet"/>
            </w:pPr>
            <w:r w:rsidRPr="005B0B61">
              <w:t>obtaining and signing on and off relevant work permits in accordance with workplace requirements</w:t>
            </w:r>
          </w:p>
          <w:p w:rsidR="00000000" w:rsidRPr="005B0B61" w:rsidP="005B0B61">
            <w:pPr>
              <w:pStyle w:val="ListBullet"/>
            </w:pPr>
            <w:r w:rsidRPr="005B0B61">
              <w:t>dealing with an unplanned event on at least one (1) occasion</w:t>
            </w:r>
          </w:p>
          <w:p w:rsidR="00000000" w:rsidRPr="005B0B61" w:rsidP="005B0B61">
            <w:pPr>
              <w:pStyle w:val="ListBullet"/>
            </w:pPr>
            <w:r w:rsidRPr="005B0B61">
              <w:t>completing relevant work records, reports and documentation.</w:t>
            </w:r>
          </w:p>
        </w:tc>
      </w:tr>
    </w:tbl>
    <w:p w:rsidR="00000000" w:rsidRPr="005B0B61" w:rsidP="005B0B61">
      <w:pPr>
        <w:pStyle w:val="NoPaddingFontSize1"/>
      </w:pPr>
    </w:p>
    <w:p w:rsidR="00000000" w:rsidRPr="005B0B61" w:rsidP="005B0B61">
      <w:pPr>
        <w:pStyle w:val="AllowPageBreak"/>
      </w:pPr>
    </w:p>
    <w:p w:rsidR="00000000" w:rsidRPr="005B0B61" w:rsidP="005B0B61">
      <w:pPr>
        <w:pStyle w:val="Heading1"/>
      </w:pPr>
      <w:bookmarkStart w:id="3" w:name="O_1267059"/>
      <w:bookmarkEnd w:id="3"/>
      <w:r w:rsidRPr="005B0B6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B61">
            <w:pPr>
              <w:pStyle w:val="BodyText"/>
              <w:rPr>
                <w:lang w:val="en-NZ"/>
              </w:rPr>
            </w:pPr>
            <w:r w:rsidRPr="005B0B61">
              <w:t>Evidence required to demonstrate competence in this unit must be relevant to and satisfy all o</w:t>
            </w:r>
            <w:r w:rsidRPr="005B0B61">
              <w:t>f the requirements of the elements and performance criteria and include knowledge of:</w:t>
            </w:r>
          </w:p>
        </w:tc>
      </w:tr>
      <w:tr w:rsidTr="005B0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B61" w:rsidP="005B0B61">
            <w:pPr>
              <w:pStyle w:val="ListBullet"/>
            </w:pPr>
            <w:r w:rsidRPr="005B0B61">
              <w:t xml:space="preserve">relevant legislation, regulations, standards, codes of practice and organisational workplace requirements, including: </w:t>
            </w:r>
          </w:p>
          <w:p w:rsidR="00000000" w:rsidRPr="005B0B61" w:rsidP="005B0B61">
            <w:pPr>
              <w:pStyle w:val="ListBullet2"/>
            </w:pPr>
            <w:r w:rsidRPr="005B0B61">
              <w:t>WHS/OHS</w:t>
            </w:r>
          </w:p>
          <w:p w:rsidR="00000000" w:rsidRPr="005B0B61" w:rsidP="005B0B61">
            <w:pPr>
              <w:pStyle w:val="ListBullet2"/>
            </w:pPr>
            <w:r w:rsidRPr="005B0B61">
              <w:t>safe approach distances</w:t>
            </w:r>
          </w:p>
          <w:p w:rsidR="00000000" w:rsidRPr="005B0B61" w:rsidP="005B0B61">
            <w:pPr>
              <w:pStyle w:val="ListBullet2"/>
            </w:pPr>
            <w:r w:rsidRPr="005B0B61">
              <w:t>emergency procedures</w:t>
            </w:r>
          </w:p>
          <w:p w:rsidR="00000000" w:rsidRPr="005B0B61" w:rsidP="005B0B61">
            <w:pPr>
              <w:pStyle w:val="ListBullet"/>
            </w:pPr>
            <w:r w:rsidRPr="005B0B61">
              <w:t>hazard, risk assessment and risk control requirements, including potential hazards</w:t>
            </w:r>
          </w:p>
          <w:p w:rsidR="00000000" w:rsidRPr="005B0B61" w:rsidP="005B0B61">
            <w:pPr>
              <w:pStyle w:val="ListBullet"/>
            </w:pPr>
            <w:r w:rsidRPr="005B0B61">
              <w:t>types and application of PPE</w:t>
            </w:r>
          </w:p>
          <w:p w:rsidR="00000000" w:rsidRPr="005B0B61" w:rsidP="005B0B61">
            <w:pPr>
              <w:pStyle w:val="ListBullet"/>
            </w:pPr>
            <w:r w:rsidRPr="005B0B61">
              <w:t>safe use of plant, tools and equipment, including:</w:t>
            </w:r>
          </w:p>
          <w:p w:rsidR="00000000" w:rsidRPr="005B0B61" w:rsidP="005B0B61">
            <w:pPr>
              <w:pStyle w:val="ListBullet2"/>
            </w:pPr>
            <w:r w:rsidRPr="005B0B61">
              <w:t>earthing of mobile plant</w:t>
            </w:r>
          </w:p>
          <w:p w:rsidR="00000000" w:rsidRPr="005B0B61" w:rsidP="005B0B61">
            <w:pPr>
              <w:pStyle w:val="ListBullet"/>
            </w:pPr>
            <w:r w:rsidRPr="005B0B61">
              <w:t>application, purpose and types of work permi</w:t>
            </w:r>
            <w:r w:rsidRPr="005B0B61">
              <w:t>ts</w:t>
            </w:r>
          </w:p>
          <w:p w:rsidR="00000000" w:rsidRPr="005B0B61" w:rsidP="005B0B61">
            <w:pPr>
              <w:pStyle w:val="ListBullet"/>
            </w:pPr>
            <w:r w:rsidRPr="005B0B61">
              <w:t>events constituting an unplanned event or incident</w:t>
            </w:r>
          </w:p>
          <w:p w:rsidR="00000000" w:rsidRPr="005B0B61" w:rsidP="005B0B61">
            <w:pPr>
              <w:pStyle w:val="ListBullet"/>
            </w:pPr>
            <w:r w:rsidRPr="005B0B61">
              <w:t>procedures for responding to an unplanned event or incident</w:t>
            </w:r>
          </w:p>
          <w:p w:rsidR="00000000" w:rsidRPr="005B0B61" w:rsidP="005B0B61">
            <w:pPr>
              <w:pStyle w:val="ListBullet"/>
            </w:pPr>
            <w:r w:rsidRPr="005B0B61">
              <w:t>safety observer:</w:t>
            </w:r>
          </w:p>
          <w:p w:rsidR="00000000" w:rsidRPr="005B0B61" w:rsidP="005B0B61">
            <w:pPr>
              <w:pStyle w:val="ListBullet2"/>
            </w:pPr>
            <w:r w:rsidRPr="005B0B61">
              <w:t>role and responsibilities</w:t>
            </w:r>
          </w:p>
          <w:p w:rsidR="00000000" w:rsidRPr="005B0B61" w:rsidP="005B0B61">
            <w:pPr>
              <w:pStyle w:val="ListBullet2"/>
            </w:pPr>
            <w:r w:rsidRPr="005B0B61">
              <w:t>communication methods</w:t>
            </w:r>
          </w:p>
          <w:p w:rsidR="00000000" w:rsidRPr="005B0B61" w:rsidP="005B0B61">
            <w:pPr>
              <w:pStyle w:val="ListBullet"/>
            </w:pPr>
            <w:r w:rsidRPr="005B0B61">
              <w:t>basic electrical principles, including:</w:t>
            </w:r>
          </w:p>
          <w:p w:rsidR="00000000" w:rsidRPr="005B0B61" w:rsidP="005B0B61">
            <w:pPr>
              <w:pStyle w:val="ListBullet2"/>
            </w:pPr>
            <w:r w:rsidRPr="005B0B61">
              <w:t>voltage, current and resistance</w:t>
            </w:r>
          </w:p>
          <w:p w:rsidR="00000000" w:rsidRPr="005B0B61" w:rsidP="005B0B61">
            <w:pPr>
              <w:pStyle w:val="ListBullet2"/>
            </w:pPr>
            <w:r w:rsidRPr="005B0B61">
              <w:t>typical effects of current, including physiological effects and induced voltages</w:t>
            </w:r>
          </w:p>
          <w:p w:rsidR="00000000" w:rsidRPr="005B0B61" w:rsidP="005B0B61">
            <w:pPr>
              <w:pStyle w:val="ListBullet2"/>
            </w:pPr>
            <w:r w:rsidRPr="005B0B61">
              <w:t>consequences of short circuits, including arc flash and touch and step potentials</w:t>
            </w:r>
          </w:p>
          <w:p w:rsidR="00000000" w:rsidRPr="005B0B61" w:rsidP="005B0B61">
            <w:pPr>
              <w:pStyle w:val="ListBullet"/>
            </w:pPr>
            <w:r w:rsidRPr="005B0B61">
              <w:t xml:space="preserve">electricity networks, including: </w:t>
            </w:r>
          </w:p>
          <w:p w:rsidR="00000000" w:rsidRPr="005B0B61" w:rsidP="005B0B61">
            <w:pPr>
              <w:pStyle w:val="ListBullet2"/>
            </w:pPr>
            <w:r w:rsidRPr="005B0B61">
              <w:t>LV</w:t>
            </w:r>
          </w:p>
          <w:p w:rsidR="00000000" w:rsidRPr="005B0B61" w:rsidP="005B0B61">
            <w:pPr>
              <w:pStyle w:val="ListBullet2"/>
            </w:pPr>
            <w:r w:rsidRPr="005B0B61">
              <w:t>HV</w:t>
            </w:r>
          </w:p>
          <w:p w:rsidR="00000000" w:rsidRPr="005B0B61" w:rsidP="005B0B61">
            <w:pPr>
              <w:pStyle w:val="ListBullet2"/>
            </w:pPr>
            <w:r w:rsidRPr="005B0B61">
              <w:t>earthing systems</w:t>
            </w:r>
          </w:p>
          <w:p w:rsidR="00000000" w:rsidRPr="005B0B61" w:rsidP="005B0B61">
            <w:pPr>
              <w:pStyle w:val="ListBullet2"/>
            </w:pPr>
            <w:r w:rsidRPr="005B0B61">
              <w:t>associated assets</w:t>
            </w:r>
          </w:p>
          <w:p w:rsidR="00000000" w:rsidRPr="005B0B61" w:rsidP="005B0B61">
            <w:pPr>
              <w:pStyle w:val="ListBullet2"/>
            </w:pPr>
            <w:r w:rsidRPr="005B0B61">
              <w:t>asset identifica</w:t>
            </w:r>
            <w:r w:rsidRPr="005B0B61">
              <w:t>tion</w:t>
            </w:r>
          </w:p>
          <w:p w:rsidR="00000000" w:rsidRPr="005B0B61" w:rsidP="005B0B61">
            <w:pPr>
              <w:pStyle w:val="ListBullet2"/>
            </w:pPr>
            <w:r w:rsidRPr="005B0B61">
              <w:t>layouts and configuration</w:t>
            </w:r>
          </w:p>
          <w:p w:rsidR="00000000" w:rsidRPr="005B0B61" w:rsidP="005B0B61">
            <w:pPr>
              <w:pStyle w:val="ListBullet2"/>
            </w:pPr>
            <w:r w:rsidRPr="005B0B61">
              <w:t>basic protection</w:t>
            </w:r>
          </w:p>
          <w:p w:rsidR="00000000" w:rsidRPr="005B0B61" w:rsidP="005B0B61">
            <w:pPr>
              <w:pStyle w:val="ListBullet2"/>
            </w:pPr>
            <w:r w:rsidRPr="005B0B61">
              <w:t>relationship between an overhead and underground supply system</w:t>
            </w:r>
          </w:p>
          <w:p w:rsidR="00000000" w:rsidRPr="005B0B61" w:rsidP="005B0B61">
            <w:pPr>
              <w:pStyle w:val="ListBullet"/>
            </w:pPr>
            <w:r w:rsidRPr="005B0B61">
              <w:t>terminology related to working safely in the vicinity of live electrical apparatus.</w:t>
            </w:r>
          </w:p>
        </w:tc>
      </w:tr>
    </w:tbl>
    <w:p w:rsidR="00000000" w:rsidRPr="005B0B61" w:rsidP="005B0B61">
      <w:pPr>
        <w:pStyle w:val="NoPaddingFontSize1"/>
      </w:pPr>
    </w:p>
    <w:p w:rsidR="00000000" w:rsidRPr="005B0B61" w:rsidP="005B0B61">
      <w:pPr>
        <w:pStyle w:val="AllowPageBreak"/>
      </w:pPr>
    </w:p>
    <w:p w:rsidR="00000000" w:rsidRPr="005B0B61" w:rsidP="005B0B61">
      <w:pPr>
        <w:pStyle w:val="Heading1"/>
      </w:pPr>
      <w:bookmarkStart w:id="4" w:name="O_1267058"/>
      <w:bookmarkEnd w:id="4"/>
      <w:r w:rsidRPr="005B0B6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0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B61" w:rsidP="005B0B61">
            <w:pPr>
              <w:pStyle w:val="BodyText"/>
            </w:pPr>
            <w:r w:rsidRPr="005B0B61">
              <w:t>Assessors must hold credentials specified within the Standards for Registered Training Organisations current at the time of assessment.</w:t>
            </w:r>
          </w:p>
          <w:p w:rsidR="00000000" w:rsidRPr="005B0B61" w:rsidP="005B0B61">
            <w:pPr>
              <w:pStyle w:val="BodyText"/>
            </w:pPr>
            <w:r w:rsidRPr="005B0B6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B0B61" w:rsidP="005B0B61">
            <w:pPr>
              <w:pStyle w:val="BodyText"/>
            </w:pPr>
            <w:r w:rsidRPr="005B0B61">
              <w:t>Assessment must occur in workplace operational</w:t>
            </w:r>
            <w:r w:rsidRPr="005B0B61">
              <w:t xml:space="preserve"> situations, where it is appropriate to do so.</w:t>
            </w:r>
          </w:p>
          <w:p w:rsidR="00000000" w:rsidRPr="005B0B61" w:rsidP="005B0B61">
            <w:pPr>
              <w:pStyle w:val="BodyText"/>
            </w:pPr>
            <w:r w:rsidRPr="005B0B61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5B0B61" w:rsidP="005B0B61">
            <w:pPr>
              <w:pStyle w:val="BodyText"/>
            </w:pPr>
            <w:r w:rsidRPr="005B0B61">
              <w:t>Assessment processes and techniques mu</w:t>
            </w:r>
            <w:r w:rsidRPr="005B0B61">
              <w:t>st be appropriate to the language, literacy and numeracy requirements of the work being performed and the needs of the candidate.</w:t>
            </w:r>
          </w:p>
          <w:p w:rsidR="00000000" w:rsidRPr="005B0B61" w:rsidP="005B0B61">
            <w:pPr>
              <w:pStyle w:val="BodyText"/>
            </w:pPr>
            <w:r w:rsidRPr="005B0B61">
              <w:t>Resources for assessment must include access to:</w:t>
            </w:r>
          </w:p>
          <w:p w:rsidR="00000000" w:rsidRPr="005B0B61" w:rsidP="005B0B61">
            <w:pPr>
              <w:pStyle w:val="ListBullet"/>
            </w:pPr>
            <w:r w:rsidRPr="005B0B61">
              <w:t xml:space="preserve">relevant and appropriate materials, tools, equipment and PPE currently used </w:t>
            </w:r>
            <w:r w:rsidRPr="005B0B61">
              <w:t>in industry</w:t>
            </w:r>
          </w:p>
          <w:p w:rsidR="00000000" w:rsidRPr="005B0B61" w:rsidP="005B0B61">
            <w:pPr>
              <w:pStyle w:val="ListBullet"/>
            </w:pPr>
            <w:r w:rsidRPr="005B0B61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5B0B61" w:rsidP="005B0B61">
      <w:pPr>
        <w:pStyle w:val="NoPaddingFontSize1"/>
      </w:pPr>
    </w:p>
    <w:p w:rsidR="00000000" w:rsidRPr="005B0B61" w:rsidP="005B0B61">
      <w:pPr>
        <w:pStyle w:val="AllowPageBreak"/>
      </w:pPr>
    </w:p>
    <w:p w:rsidR="00000000" w:rsidRPr="005B0B61" w:rsidP="005B0B61">
      <w:pPr>
        <w:pStyle w:val="Heading1"/>
      </w:pPr>
      <w:bookmarkStart w:id="5" w:name="O_1267073"/>
      <w:bookmarkEnd w:id="5"/>
      <w:r w:rsidRPr="005B0B61">
        <w:t>Links</w:t>
      </w:r>
    </w:p>
    <w:p w:rsidR="00000000" w:rsidRPr="005B0B61" w:rsidP="00707713">
      <w:pPr>
        <w:pStyle w:val="BodyText"/>
      </w:pPr>
      <w:r w:rsidRPr="005B0B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0378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B0B61" w:rsidP="005B0B61"/>
    <w:sectPr w:rsidSect="005B0B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B61" w:rsidRPr="00707713" w:rsidP="00707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13" w:rsidP="005B0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7713" w:rsidP="005B0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07713" w:rsidP="005B0B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B61" w:rsidRPr="00707713" w:rsidP="00707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13" w:rsidRPr="002D2AF8" w:rsidP="005B0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UETDREL006 Work safely in the vicinity of live electrical apparatus as a non-electrical worker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07713" w:rsidP="005B0B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14FD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C47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5A52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B61"/>
  </w:style>
  <w:style w:type="character" w:customStyle="1" w:styleId="Heading1Char">
    <w:name w:val="Heading 1 Char"/>
    <w:basedOn w:val="DefaultParagraphFont"/>
    <w:link w:val="Heading1"/>
    <w:rsid w:val="005B0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B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B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0B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0B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0B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0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B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B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B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B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0B61"/>
    <w:rPr>
      <w:b/>
      <w:spacing w:val="0"/>
    </w:rPr>
  </w:style>
  <w:style w:type="paragraph" w:customStyle="1" w:styleId="SuperTitle">
    <w:name w:val="SuperTitle"/>
    <w:basedOn w:val="Title"/>
    <w:rsid w:val="005B0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0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B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B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B61"/>
    <w:rPr>
      <w:i/>
    </w:rPr>
  </w:style>
  <w:style w:type="paragraph" w:styleId="Caption">
    <w:name w:val="caption"/>
    <w:basedOn w:val="BodyText"/>
    <w:next w:val="Normal"/>
    <w:qFormat/>
    <w:rsid w:val="005B0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B61"/>
  </w:style>
  <w:style w:type="paragraph" w:styleId="TableofFigures">
    <w:name w:val="table of figures"/>
    <w:basedOn w:val="Normal"/>
    <w:next w:val="Normal"/>
    <w:semiHidden/>
    <w:rsid w:val="005B0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B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0B61"/>
    <w:rPr>
      <w:rFonts w:ascii="Wingdings" w:hAnsi="Wingdings"/>
    </w:rPr>
  </w:style>
  <w:style w:type="paragraph" w:customStyle="1" w:styleId="TableHeading">
    <w:name w:val="Table Heading"/>
    <w:basedOn w:val="HeadingBase"/>
    <w:rsid w:val="005B0B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B61"/>
    <w:rPr>
      <w:color w:val="0033CC"/>
      <w:u w:val="none"/>
    </w:rPr>
  </w:style>
  <w:style w:type="paragraph" w:customStyle="1" w:styleId="BodyTextRight">
    <w:name w:val="Body Text Right"/>
    <w:basedOn w:val="BodyText"/>
    <w:rsid w:val="005B0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B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B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B61"/>
    <w:rPr>
      <w:sz w:val="32"/>
    </w:rPr>
  </w:style>
  <w:style w:type="paragraph" w:customStyle="1" w:styleId="HeadingProcedure">
    <w:name w:val="Heading Procedure"/>
    <w:basedOn w:val="HeadingBase"/>
    <w:next w:val="Normal"/>
    <w:rsid w:val="005B0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B61"/>
    <w:pPr>
      <w:spacing w:before="60" w:after="60"/>
    </w:pPr>
  </w:style>
  <w:style w:type="paragraph" w:styleId="ListContinue">
    <w:name w:val="List Continue"/>
    <w:basedOn w:val="List"/>
    <w:rsid w:val="005B0B61"/>
    <w:pPr>
      <w:ind w:firstLine="0"/>
    </w:pPr>
  </w:style>
  <w:style w:type="paragraph" w:customStyle="1" w:styleId="ListNote">
    <w:name w:val="List Note"/>
    <w:basedOn w:val="List"/>
    <w:rsid w:val="005B0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B61"/>
    <w:rPr>
      <w:rFonts w:ascii="Courier New" w:hAnsi="Courier New"/>
    </w:rPr>
  </w:style>
  <w:style w:type="paragraph" w:customStyle="1" w:styleId="NoteBullet">
    <w:name w:val="Note Bullet"/>
    <w:basedOn w:val="Note"/>
    <w:rsid w:val="005B0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B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0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B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B61"/>
    <w:rPr>
      <w:b/>
      <w:smallCaps/>
    </w:rPr>
  </w:style>
  <w:style w:type="paragraph" w:customStyle="1" w:styleId="TableListNumber">
    <w:name w:val="Table List Number"/>
    <w:basedOn w:val="ListNumber"/>
    <w:rsid w:val="005B0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B61"/>
    <w:pPr>
      <w:numPr>
        <w:numId w:val="9"/>
      </w:numPr>
    </w:pPr>
  </w:style>
  <w:style w:type="paragraph" w:customStyle="1" w:styleId="ListAlpha2">
    <w:name w:val="List Alpha 2"/>
    <w:basedOn w:val="List2"/>
    <w:rsid w:val="005B0B61"/>
    <w:pPr>
      <w:numPr>
        <w:numId w:val="8"/>
      </w:numPr>
    </w:pPr>
  </w:style>
  <w:style w:type="paragraph" w:styleId="List2">
    <w:name w:val="List 2"/>
    <w:basedOn w:val="BodyText"/>
    <w:rsid w:val="005B0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B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B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B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0B61"/>
    <w:pPr>
      <w:numPr>
        <w:numId w:val="4"/>
      </w:numPr>
    </w:pPr>
  </w:style>
  <w:style w:type="paragraph" w:styleId="ListContinue2">
    <w:name w:val="List Continue 2"/>
    <w:basedOn w:val="List2"/>
    <w:rsid w:val="005B0B61"/>
    <w:pPr>
      <w:ind w:firstLine="0"/>
    </w:pPr>
  </w:style>
  <w:style w:type="paragraph" w:styleId="ListContinue3">
    <w:name w:val="List Continue 3"/>
    <w:basedOn w:val="List3"/>
    <w:rsid w:val="005B0B61"/>
    <w:pPr>
      <w:ind w:left="1021" w:firstLine="0"/>
    </w:pPr>
  </w:style>
  <w:style w:type="paragraph" w:styleId="ListContinue4">
    <w:name w:val="List Continue 4"/>
    <w:basedOn w:val="List4"/>
    <w:rsid w:val="005B0B61"/>
    <w:pPr>
      <w:ind w:firstLine="0"/>
    </w:pPr>
  </w:style>
  <w:style w:type="paragraph" w:styleId="ListContinue5">
    <w:name w:val="List Continue 5"/>
    <w:basedOn w:val="List5"/>
    <w:rsid w:val="005B0B61"/>
    <w:pPr>
      <w:ind w:firstLine="0"/>
    </w:pPr>
  </w:style>
  <w:style w:type="paragraph" w:styleId="ListNumber3">
    <w:name w:val="List Number 3"/>
    <w:basedOn w:val="List3"/>
    <w:rsid w:val="005B0B61"/>
    <w:pPr>
      <w:numPr>
        <w:numId w:val="5"/>
      </w:numPr>
    </w:pPr>
  </w:style>
  <w:style w:type="paragraph" w:styleId="ListNumber4">
    <w:name w:val="List Number 4"/>
    <w:basedOn w:val="List4"/>
    <w:rsid w:val="005B0B61"/>
    <w:pPr>
      <w:numPr>
        <w:numId w:val="6"/>
      </w:numPr>
    </w:pPr>
  </w:style>
  <w:style w:type="paragraph" w:styleId="ListNumber5">
    <w:name w:val="List Number 5"/>
    <w:basedOn w:val="List5"/>
    <w:rsid w:val="005B0B61"/>
    <w:pPr>
      <w:numPr>
        <w:numId w:val="7"/>
      </w:numPr>
    </w:pPr>
  </w:style>
  <w:style w:type="paragraph" w:styleId="BlockText">
    <w:name w:val="Block Text"/>
    <w:basedOn w:val="Normal"/>
    <w:rsid w:val="005B0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B61"/>
    <w:rPr>
      <w:sz w:val="16"/>
      <w:vertAlign w:val="superscript"/>
    </w:rPr>
  </w:style>
  <w:style w:type="character" w:customStyle="1" w:styleId="Symbols">
    <w:name w:val="Symbols"/>
    <w:basedOn w:val="DefaultParagraphFont"/>
    <w:rsid w:val="005B0B61"/>
    <w:rPr>
      <w:rFonts w:ascii="Symbol" w:hAnsi="Symbol"/>
    </w:rPr>
  </w:style>
  <w:style w:type="character" w:customStyle="1" w:styleId="MenuOptions">
    <w:name w:val="Menu Options"/>
    <w:basedOn w:val="DefaultParagraphFont"/>
    <w:rsid w:val="005B0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B61"/>
    <w:rPr>
      <w:b/>
    </w:rPr>
  </w:style>
  <w:style w:type="character" w:customStyle="1" w:styleId="Underlined">
    <w:name w:val="Underlined"/>
    <w:basedOn w:val="DefaultParagraphFont"/>
    <w:rsid w:val="005B0B61"/>
    <w:rPr>
      <w:u w:val="single"/>
    </w:rPr>
  </w:style>
  <w:style w:type="paragraph" w:customStyle="1" w:styleId="TableBodyTextRight">
    <w:name w:val="Table Body Text Right"/>
    <w:basedOn w:val="TableBodyText"/>
    <w:rsid w:val="005B0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B61"/>
    <w:rPr>
      <w:sz w:val="18"/>
    </w:rPr>
  </w:style>
  <w:style w:type="paragraph" w:customStyle="1" w:styleId="BodySmallRight">
    <w:name w:val="Body Small Right"/>
    <w:basedOn w:val="BodyTextRight"/>
    <w:rsid w:val="005B0B61"/>
    <w:rPr>
      <w:sz w:val="18"/>
      <w:szCs w:val="18"/>
    </w:rPr>
  </w:style>
  <w:style w:type="paragraph" w:customStyle="1" w:styleId="MarginEdition">
    <w:name w:val="Margin Edition"/>
    <w:basedOn w:val="MarginNote"/>
    <w:rsid w:val="005B0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B61"/>
    <w:rPr>
      <w:sz w:val="2"/>
      <w:szCs w:val="2"/>
    </w:rPr>
  </w:style>
  <w:style w:type="character" w:customStyle="1" w:styleId="Small">
    <w:name w:val="Small"/>
    <w:basedOn w:val="DefaultParagraphFont"/>
    <w:rsid w:val="005B0B61"/>
    <w:rPr>
      <w:sz w:val="16"/>
    </w:rPr>
  </w:style>
  <w:style w:type="paragraph" w:customStyle="1" w:styleId="WideTable">
    <w:name w:val="Wide Table"/>
    <w:basedOn w:val="Normal"/>
    <w:rsid w:val="005B0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B61"/>
  </w:style>
  <w:style w:type="paragraph" w:styleId="Quote">
    <w:name w:val="Quote"/>
    <w:basedOn w:val="Heading1"/>
    <w:link w:val="QuoteChar"/>
    <w:qFormat/>
    <w:rsid w:val="005B0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B61"/>
    <w:pPr>
      <w:pageBreakBefore/>
    </w:pPr>
  </w:style>
  <w:style w:type="paragraph" w:customStyle="1" w:styleId="Border">
    <w:name w:val="Border"/>
    <w:basedOn w:val="Normal"/>
    <w:qFormat/>
    <w:rsid w:val="005B0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B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B61"/>
    <w:rPr>
      <w:u w:val="single"/>
    </w:rPr>
  </w:style>
  <w:style w:type="character" w:customStyle="1" w:styleId="BoldandItalics">
    <w:name w:val="Bold and Italics"/>
    <w:qFormat/>
    <w:rsid w:val="005B0B61"/>
    <w:rPr>
      <w:b/>
      <w:i/>
      <w:u w:val="none"/>
    </w:rPr>
  </w:style>
  <w:style w:type="paragraph" w:styleId="BalloonText">
    <w:name w:val="Balloon Text"/>
    <w:basedOn w:val="Normal"/>
    <w:link w:val="BalloonTextChar"/>
    <w:rsid w:val="005B0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B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B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B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B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B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B61"/>
    <w:pPr>
      <w:spacing w:before="0" w:after="0"/>
    </w:pPr>
  </w:style>
  <w:style w:type="paragraph" w:customStyle="1" w:styleId="BodyTextBold">
    <w:name w:val="Body Text Bold"/>
    <w:basedOn w:val="BodyText"/>
    <w:qFormat/>
    <w:rsid w:val="005B0B61"/>
    <w:rPr>
      <w:b/>
    </w:rPr>
  </w:style>
  <w:style w:type="character" w:styleId="Hyperlink">
    <w:name w:val="Hyperlink"/>
    <w:basedOn w:val="DefaultParagraphFont"/>
    <w:uiPriority w:val="99"/>
    <w:unhideWhenUsed/>
    <w:rsid w:val="00707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3803</Characters>
  <Application>Microsoft Office Word</Application>
  <DocSecurity>0</DocSecurity>
  <Lines>97</Lines>
  <Paragraphs>76</Paragraphs>
  <ScaleCrop>false</ScaleCrop>
  <Company>Author-it Software Corporation Ltd.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UETDREL006 Work safely in the vicinity of live electrical apparatus as a non-electrical worker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