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1AD" w:rsidP="00D80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UETDREL003 Identify and apply controls for alternate supplies on the distribution network</w:t>
      </w:r>
      <w:r>
        <w:fldChar w:fldCharType="end"/>
      </w:r>
    </w:p>
    <w:p w:rsidR="00D801AD" w:rsidP="00D801AD">
      <w:pPr>
        <w:pStyle w:val="Version"/>
        <w:sectPr w:rsidSect="00420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C61" w:rsidP="00420C61">
      <w:pPr>
        <w:pStyle w:val="SuperHeading"/>
      </w:pPr>
      <w:r w:rsidRPr="00420C61">
        <w:t>Assessment Requirements for UETDREL003 Identify and apply controls for alternate supplies on the distribution network</w:t>
      </w:r>
    </w:p>
    <w:p w:rsidR="00000000" w:rsidRPr="00420C61" w:rsidP="00420C61">
      <w:pPr>
        <w:pStyle w:val="Heading1"/>
      </w:pPr>
      <w:bookmarkStart w:id="1" w:name="O_1266991"/>
      <w:bookmarkEnd w:id="1"/>
      <w:r w:rsidRPr="00420C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C61" w:rsidP="00420C61">
            <w:pPr>
              <w:pStyle w:val="BodyText"/>
            </w:pPr>
            <w:r w:rsidRPr="00420C61">
              <w:t>Release 2. Amended Competency Field</w:t>
            </w:r>
          </w:p>
          <w:p w:rsidR="00000000" w:rsidRPr="00420C61" w:rsidP="00420C61">
            <w:pPr>
              <w:pStyle w:val="BodyText"/>
            </w:pPr>
            <w:r w:rsidRPr="00420C6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20C61" w:rsidP="00420C61">
      <w:pPr>
        <w:pStyle w:val="NoPaddingFontSize1"/>
      </w:pPr>
    </w:p>
    <w:p w:rsidR="00000000" w:rsidRPr="00420C61" w:rsidP="00420C61">
      <w:pPr>
        <w:pStyle w:val="AllowPageBreak"/>
      </w:pPr>
    </w:p>
    <w:p w:rsidR="00000000" w:rsidRPr="00420C61" w:rsidP="00420C61">
      <w:pPr>
        <w:pStyle w:val="Heading1"/>
      </w:pPr>
      <w:bookmarkStart w:id="2" w:name="O_1266990"/>
      <w:bookmarkEnd w:id="2"/>
      <w:r w:rsidRPr="00420C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C61">
            <w:pPr>
              <w:pStyle w:val="BodyText"/>
              <w:rPr>
                <w:lang w:val="en-NZ"/>
              </w:rPr>
            </w:pPr>
            <w:r w:rsidRPr="00420C61">
              <w:t>Evidence required to demonstrate competence in this unit must be r</w:t>
            </w:r>
            <w:r w:rsidRPr="00420C61">
              <w:t xml:space="preserve">elevant to and satisfy all of the requirements of the elements and performance criteria on at least two separate occasions and include: </w:t>
            </w:r>
          </w:p>
        </w:tc>
      </w:tr>
      <w:tr w:rsidTr="00420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C61" w:rsidP="00420C61">
            <w:pPr>
              <w:pStyle w:val="ListBullet"/>
            </w:pPr>
            <w:r w:rsidRPr="00420C61">
              <w:t>applying relevant legislation, regulations, standards, codes of practice and workplace requirements, including:</w:t>
            </w:r>
          </w:p>
          <w:p w:rsidR="00000000" w:rsidRPr="00420C61" w:rsidP="00420C61">
            <w:pPr>
              <w:pStyle w:val="ListBullet2"/>
            </w:pPr>
            <w:r w:rsidRPr="00420C61">
              <w:t>work</w:t>
            </w:r>
            <w:r w:rsidRPr="00420C61">
              <w:t xml:space="preserve"> health and safety (WHS)/occupational health and safety (OHS)</w:t>
            </w:r>
          </w:p>
          <w:p w:rsidR="00000000" w:rsidRPr="00420C61" w:rsidP="00420C61">
            <w:pPr>
              <w:pStyle w:val="ListBullet"/>
            </w:pPr>
            <w:r w:rsidRPr="00420C61">
              <w:t>identifying hazards, assessing risks, identifying, applying and monitoring control measures</w:t>
            </w:r>
          </w:p>
          <w:p w:rsidR="00000000" w:rsidRPr="00420C61" w:rsidP="00420C61">
            <w:pPr>
              <w:pStyle w:val="ListBullet"/>
            </w:pPr>
            <w:r w:rsidRPr="00420C61">
              <w:t>obtaining, inspecting and using relevant personal protective equipment (PPE)</w:t>
            </w:r>
          </w:p>
          <w:p w:rsidR="00000000" w:rsidRPr="00420C61" w:rsidP="00420C61">
            <w:pPr>
              <w:pStyle w:val="ListBullet"/>
            </w:pPr>
            <w:r w:rsidRPr="00420C61">
              <w:t>identifying potential alternate supplies</w:t>
            </w:r>
          </w:p>
          <w:p w:rsidR="00000000" w:rsidRPr="00420C61" w:rsidP="00420C61">
            <w:pPr>
              <w:pStyle w:val="ListBullet"/>
            </w:pPr>
            <w:r w:rsidRPr="00420C61">
              <w:t>identifying control measures to manage alternate supplies</w:t>
            </w:r>
          </w:p>
          <w:p w:rsidR="00000000" w:rsidRPr="00420C61" w:rsidP="00420C61">
            <w:pPr>
              <w:pStyle w:val="ListBullet"/>
            </w:pPr>
            <w:r w:rsidRPr="00420C61">
              <w:t>implementing at least two (2) of the following control measures for alternate supplies:</w:t>
            </w:r>
          </w:p>
          <w:p w:rsidR="00000000" w:rsidRPr="00420C61" w:rsidP="00420C61">
            <w:pPr>
              <w:pStyle w:val="ListBullet2"/>
            </w:pPr>
            <w:r w:rsidRPr="00420C61">
              <w:t xml:space="preserve">isolation points, including using tags and locks in accordance with </w:t>
            </w:r>
            <w:r w:rsidRPr="00420C61">
              <w:t>workplace requirements</w:t>
            </w:r>
          </w:p>
          <w:p w:rsidR="00000000" w:rsidRPr="00420C61" w:rsidP="00420C61">
            <w:pPr>
              <w:pStyle w:val="ListBullet2"/>
            </w:pPr>
            <w:r w:rsidRPr="00420C61">
              <w:t>short circuiting and earthing</w:t>
            </w:r>
          </w:p>
          <w:p w:rsidR="00000000" w:rsidRPr="00420C61" w:rsidP="00420C61">
            <w:pPr>
              <w:pStyle w:val="ListBullet2"/>
            </w:pPr>
            <w:r w:rsidRPr="00420C61">
              <w:t>bonding</w:t>
            </w:r>
          </w:p>
          <w:p w:rsidR="00000000" w:rsidRPr="00420C61" w:rsidP="00420C61">
            <w:pPr>
              <w:pStyle w:val="ListBullet2"/>
            </w:pPr>
            <w:r w:rsidRPr="00420C61">
              <w:t>low voltage (LV) short circuited</w:t>
            </w:r>
          </w:p>
          <w:p w:rsidR="00000000" w:rsidRPr="00420C61" w:rsidP="00420C61">
            <w:pPr>
              <w:pStyle w:val="ListBullet"/>
            </w:pPr>
            <w:r w:rsidRPr="00420C61">
              <w:t>monitoring control measures for alternate supplies to manage two-way power flow</w:t>
            </w:r>
          </w:p>
          <w:p w:rsidR="00000000" w:rsidRPr="00420C61" w:rsidP="00420C61">
            <w:pPr>
              <w:pStyle w:val="ListBullet"/>
            </w:pPr>
            <w:r w:rsidRPr="00420C61">
              <w:t>dealing with an unplanned event on at least one (1) occasion</w:t>
            </w:r>
          </w:p>
          <w:p w:rsidR="00000000" w:rsidRPr="00420C61" w:rsidP="00420C61">
            <w:pPr>
              <w:pStyle w:val="ListBullet"/>
            </w:pPr>
            <w:r w:rsidRPr="00420C61">
              <w:t>obtaining and signin</w:t>
            </w:r>
            <w:r w:rsidRPr="00420C61">
              <w:t>g on and off relevant work permits in accordance with workplace requirements</w:t>
            </w:r>
          </w:p>
          <w:p w:rsidR="00000000" w:rsidRPr="00420C61" w:rsidP="00420C61">
            <w:pPr>
              <w:pStyle w:val="ListBullet"/>
            </w:pPr>
            <w:r w:rsidRPr="00420C61">
              <w:t>completing relevant work records, reports and documentation.</w:t>
            </w:r>
          </w:p>
        </w:tc>
      </w:tr>
    </w:tbl>
    <w:p w:rsidR="00000000" w:rsidRPr="00420C61" w:rsidP="00420C61">
      <w:pPr>
        <w:pStyle w:val="NoPaddingFontSize1"/>
      </w:pPr>
    </w:p>
    <w:p w:rsidR="00000000" w:rsidRPr="00420C61" w:rsidP="00420C61">
      <w:pPr>
        <w:pStyle w:val="AllowPageBreak"/>
      </w:pPr>
    </w:p>
    <w:p w:rsidR="00000000" w:rsidRPr="00420C61" w:rsidP="00420C61">
      <w:pPr>
        <w:pStyle w:val="Heading1"/>
      </w:pPr>
      <w:bookmarkStart w:id="3" w:name="O_1266989"/>
      <w:bookmarkEnd w:id="3"/>
      <w:r w:rsidRPr="00420C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C61">
            <w:pPr>
              <w:pStyle w:val="BodyText"/>
              <w:rPr>
                <w:lang w:val="en-NZ"/>
              </w:rPr>
            </w:pPr>
            <w:r w:rsidRPr="00420C61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20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C61" w:rsidP="00420C61">
            <w:pPr>
              <w:pStyle w:val="ListBullet"/>
            </w:pPr>
            <w:r w:rsidRPr="00420C61">
              <w:t>relevant legislation, regulations, standards, codes of practice and workp</w:t>
            </w:r>
            <w:r w:rsidRPr="00420C61">
              <w:t xml:space="preserve">lace requirements, including: </w:t>
            </w:r>
          </w:p>
          <w:p w:rsidR="00000000" w:rsidRPr="00420C61" w:rsidP="00420C61">
            <w:pPr>
              <w:pStyle w:val="ListBullet2"/>
            </w:pPr>
            <w:r w:rsidRPr="00420C61">
              <w:t>WHS/OHS</w:t>
            </w:r>
          </w:p>
          <w:p w:rsidR="00000000" w:rsidRPr="00420C61" w:rsidP="00420C61">
            <w:pPr>
              <w:pStyle w:val="ListBullet"/>
            </w:pPr>
            <w:r w:rsidRPr="00420C61">
              <w:t>hazard, risk assessment and risk control requirements, including:</w:t>
            </w:r>
          </w:p>
          <w:p w:rsidR="00000000" w:rsidRPr="00420C61" w:rsidP="00420C61">
            <w:pPr>
              <w:pStyle w:val="ListBullet2"/>
            </w:pPr>
            <w:r w:rsidRPr="00420C61">
              <w:t>potential hazards, including:</w:t>
            </w:r>
          </w:p>
          <w:p w:rsidR="00000000" w:rsidRPr="00420C61" w:rsidP="00420C61">
            <w:pPr>
              <w:pStyle w:val="ListBullet3"/>
            </w:pPr>
            <w:r w:rsidRPr="00420C61">
              <w:t>alternating current (a.c.) and direct current (d.c.)</w:t>
            </w:r>
          </w:p>
          <w:p w:rsidR="00000000" w:rsidRPr="00420C61" w:rsidP="00420C61">
            <w:pPr>
              <w:pStyle w:val="ListBullet3"/>
            </w:pPr>
            <w:r w:rsidRPr="00420C61">
              <w:t>installation multiple earthed neutral (MEN) location changes in stand-alone mode</w:t>
            </w:r>
          </w:p>
          <w:p w:rsidR="00000000" w:rsidRPr="00420C61" w:rsidP="00420C61">
            <w:pPr>
              <w:pStyle w:val="ListBullet3"/>
            </w:pPr>
            <w:r w:rsidRPr="00420C61">
              <w:t>residual charge in electronic devices, e.g., capacitors in inverters</w:t>
            </w:r>
          </w:p>
          <w:p w:rsidR="00000000" w:rsidRPr="00420C61" w:rsidP="00420C61">
            <w:pPr>
              <w:pStyle w:val="ListBullet3"/>
            </w:pPr>
            <w:r w:rsidRPr="00420C61">
              <w:t>potential rise and currents on neutral</w:t>
            </w:r>
          </w:p>
          <w:p w:rsidR="00000000" w:rsidRPr="00420C61" w:rsidP="00420C61">
            <w:pPr>
              <w:pStyle w:val="ListBullet2"/>
            </w:pPr>
            <w:r w:rsidRPr="00420C61">
              <w:t>potential backfeed hazards from:</w:t>
            </w:r>
          </w:p>
          <w:p w:rsidR="00000000" w:rsidRPr="00420C61" w:rsidP="00420C61">
            <w:pPr>
              <w:pStyle w:val="ListBullet3"/>
            </w:pPr>
            <w:r w:rsidRPr="00420C61">
              <w:t>faulty equipment</w:t>
            </w:r>
          </w:p>
          <w:p w:rsidR="00000000" w:rsidRPr="00420C61" w:rsidP="00420C61">
            <w:pPr>
              <w:pStyle w:val="ListBullet3"/>
            </w:pPr>
            <w:r w:rsidRPr="00420C61">
              <w:t>incorrectly installed equipment</w:t>
            </w:r>
          </w:p>
          <w:p w:rsidR="00000000" w:rsidRPr="00420C61" w:rsidP="00420C61">
            <w:pPr>
              <w:pStyle w:val="ListBullet"/>
            </w:pPr>
            <w:r w:rsidRPr="00420C61">
              <w:t>types and application of PPE</w:t>
            </w:r>
          </w:p>
          <w:p w:rsidR="00000000" w:rsidRPr="00420C61" w:rsidP="00420C61">
            <w:pPr>
              <w:pStyle w:val="ListBullet"/>
            </w:pPr>
            <w:r w:rsidRPr="00420C61">
              <w:t>test equipment</w:t>
            </w:r>
          </w:p>
          <w:p w:rsidR="00000000" w:rsidRPr="00420C61" w:rsidP="00420C61">
            <w:pPr>
              <w:pStyle w:val="ListBullet"/>
            </w:pPr>
            <w:r w:rsidRPr="00420C61">
              <w:t>concept, application and operation of alternate supplies, including:</w:t>
            </w:r>
          </w:p>
          <w:p w:rsidR="00000000" w:rsidRPr="00420C61" w:rsidP="00420C61">
            <w:pPr>
              <w:pStyle w:val="ListBullet2"/>
            </w:pPr>
            <w:r w:rsidRPr="00420C61">
              <w:t>anti-islanding control and protection</w:t>
            </w:r>
          </w:p>
          <w:p w:rsidR="00000000" w:rsidRPr="00420C61" w:rsidP="00420C61">
            <w:pPr>
              <w:pStyle w:val="ListBullet2"/>
            </w:pPr>
            <w:r w:rsidRPr="00420C61">
              <w:t>system monitoring and load management</w:t>
            </w:r>
          </w:p>
          <w:p w:rsidR="00000000" w:rsidRPr="00420C61" w:rsidP="00420C61">
            <w:pPr>
              <w:pStyle w:val="ListBullet"/>
            </w:pPr>
            <w:r w:rsidRPr="00420C61">
              <w:t xml:space="preserve">identification of alternate supplies from: </w:t>
            </w:r>
          </w:p>
          <w:p w:rsidR="00000000" w:rsidRPr="00420C61" w:rsidP="00420C61">
            <w:pPr>
              <w:pStyle w:val="ListBullet2"/>
            </w:pPr>
            <w:r w:rsidRPr="00420C61">
              <w:t>signage</w:t>
            </w:r>
          </w:p>
          <w:p w:rsidR="00000000" w:rsidRPr="00420C61" w:rsidP="00420C61">
            <w:pPr>
              <w:pStyle w:val="ListBullet2"/>
            </w:pPr>
            <w:r w:rsidRPr="00420C61">
              <w:t>visual</w:t>
            </w:r>
          </w:p>
          <w:p w:rsidR="00000000" w:rsidRPr="00420C61" w:rsidP="00420C61">
            <w:pPr>
              <w:pStyle w:val="ListBullet2"/>
            </w:pPr>
            <w:r w:rsidRPr="00420C61">
              <w:t>registers</w:t>
            </w:r>
          </w:p>
          <w:p w:rsidR="00000000" w:rsidRPr="00420C61" w:rsidP="00420C61">
            <w:pPr>
              <w:pStyle w:val="ListBullet"/>
            </w:pPr>
            <w:r w:rsidRPr="00420C61">
              <w:t>alternate supplies, including:</w:t>
            </w:r>
          </w:p>
          <w:p w:rsidR="00000000" w:rsidRPr="00420C61" w:rsidP="00420C61">
            <w:pPr>
              <w:pStyle w:val="ListBullet2"/>
            </w:pPr>
            <w:r w:rsidRPr="00420C61">
              <w:t>photovoltaic (PV) systems</w:t>
            </w:r>
          </w:p>
          <w:p w:rsidR="00000000" w:rsidRPr="00420C61" w:rsidP="00420C61">
            <w:pPr>
              <w:pStyle w:val="ListBullet2"/>
            </w:pPr>
            <w:r w:rsidRPr="00420C61">
              <w:t>battery systems</w:t>
            </w:r>
          </w:p>
          <w:p w:rsidR="00000000" w:rsidRPr="00420C61" w:rsidP="00420C61">
            <w:pPr>
              <w:pStyle w:val="ListBullet"/>
            </w:pPr>
            <w:r w:rsidRPr="00420C61">
              <w:t>awareness of known and unknown alternate supplies, including:</w:t>
            </w:r>
          </w:p>
          <w:p w:rsidR="00000000" w:rsidRPr="00420C61" w:rsidP="00420C61">
            <w:pPr>
              <w:pStyle w:val="ListBullet2"/>
            </w:pPr>
            <w:r w:rsidRPr="00420C61">
              <w:t>generation sources</w:t>
            </w:r>
          </w:p>
          <w:p w:rsidR="00000000" w:rsidRPr="00420C61" w:rsidP="00420C61">
            <w:pPr>
              <w:pStyle w:val="ListBullet2"/>
            </w:pPr>
            <w:r w:rsidRPr="00420C61">
              <w:t>storage sources</w:t>
            </w:r>
          </w:p>
          <w:p w:rsidR="00000000" w:rsidRPr="00420C61" w:rsidP="00420C61">
            <w:pPr>
              <w:pStyle w:val="ListBullet"/>
            </w:pPr>
            <w:r w:rsidRPr="00420C61">
              <w:t>impacts of two-way power flow connected to the grid</w:t>
            </w:r>
          </w:p>
          <w:p w:rsidR="00000000" w:rsidRPr="00420C61" w:rsidP="00420C61">
            <w:pPr>
              <w:pStyle w:val="ListBullet"/>
            </w:pPr>
            <w:r w:rsidRPr="00420C61">
              <w:t>control measures for alternate supplies, including:</w:t>
            </w:r>
          </w:p>
          <w:p w:rsidR="00000000" w:rsidRPr="00420C61" w:rsidP="00420C61">
            <w:pPr>
              <w:pStyle w:val="ListBullet3"/>
            </w:pPr>
            <w:r w:rsidRPr="00420C61">
              <w:t>isolation points, including tags and locks, in accordance with workplace requirements</w:t>
            </w:r>
          </w:p>
          <w:p w:rsidR="00000000" w:rsidRPr="00420C61" w:rsidP="00420C61">
            <w:pPr>
              <w:pStyle w:val="ListBullet3"/>
            </w:pPr>
            <w:r w:rsidRPr="00420C61">
              <w:t>short circuiting and earthing</w:t>
            </w:r>
          </w:p>
          <w:p w:rsidR="00000000" w:rsidRPr="00420C61" w:rsidP="00420C61">
            <w:pPr>
              <w:pStyle w:val="ListBullet3"/>
            </w:pPr>
            <w:r w:rsidRPr="00420C61">
              <w:t>bonding</w:t>
            </w:r>
          </w:p>
          <w:p w:rsidR="00000000" w:rsidRPr="00420C61" w:rsidP="00420C61">
            <w:pPr>
              <w:pStyle w:val="ListBullet3"/>
            </w:pPr>
            <w:r w:rsidRPr="00420C61">
              <w:t>LV short circuited</w:t>
            </w:r>
          </w:p>
          <w:p w:rsidR="00000000" w:rsidRPr="00420C61" w:rsidP="00420C61">
            <w:pPr>
              <w:pStyle w:val="ListBullet"/>
            </w:pPr>
            <w:r w:rsidRPr="00420C61">
              <w:t>application, purpose and types of permits</w:t>
            </w:r>
          </w:p>
          <w:p w:rsidR="00000000" w:rsidRPr="00420C61" w:rsidP="00420C61">
            <w:pPr>
              <w:pStyle w:val="ListBullet"/>
            </w:pPr>
            <w:r w:rsidRPr="00420C61">
              <w:t>events constituting an unplanned event or incident</w:t>
            </w:r>
          </w:p>
          <w:p w:rsidR="00000000" w:rsidRPr="00420C61" w:rsidP="00420C61">
            <w:pPr>
              <w:pStyle w:val="ListBullet"/>
            </w:pPr>
            <w:r w:rsidRPr="00420C61">
              <w:t>procedures for responding to an unplanned event or incident</w:t>
            </w:r>
          </w:p>
          <w:p w:rsidR="00000000" w:rsidRPr="00420C61" w:rsidP="00420C61">
            <w:pPr>
              <w:pStyle w:val="ListBullet"/>
            </w:pPr>
            <w:r w:rsidRPr="00420C61">
              <w:t>procedures for workplace records, reports and documentation.</w:t>
            </w:r>
          </w:p>
        </w:tc>
      </w:tr>
    </w:tbl>
    <w:p w:rsidR="00000000" w:rsidRPr="00420C61" w:rsidP="00420C61">
      <w:pPr>
        <w:pStyle w:val="NoPaddingFontSize1"/>
      </w:pPr>
    </w:p>
    <w:p w:rsidR="00000000" w:rsidRPr="00420C61" w:rsidP="00420C61">
      <w:pPr>
        <w:pStyle w:val="AllowPageBreak"/>
      </w:pPr>
    </w:p>
    <w:p w:rsidR="00000000" w:rsidRPr="00420C61" w:rsidP="00420C61">
      <w:pPr>
        <w:pStyle w:val="Heading1"/>
      </w:pPr>
      <w:bookmarkStart w:id="4" w:name="O_1266988"/>
      <w:bookmarkEnd w:id="4"/>
      <w:r w:rsidRPr="00420C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C61" w:rsidP="00420C61">
            <w:pPr>
              <w:pStyle w:val="BodyText"/>
            </w:pPr>
            <w:r w:rsidRPr="00420C61">
              <w:t>Assessors must hold credentials specified within the Standards for Registered Training Organisations current at the time of assessment.</w:t>
            </w:r>
          </w:p>
          <w:p w:rsidR="00000000" w:rsidRPr="00420C61" w:rsidP="00420C61">
            <w:pPr>
              <w:pStyle w:val="BodyText"/>
            </w:pPr>
            <w:r w:rsidRPr="00420C61">
              <w:t xml:space="preserve">Assessment must satisfy the Principles of Assessment and Rules of Evidence and all regulatory </w:t>
            </w:r>
            <w:r w:rsidRPr="00420C61">
              <w:t>requirements included wit</w:t>
            </w:r>
            <w:r w:rsidRPr="00420C61">
              <w:t>hin the Standards for Registered Training Organisations current at the time of assessment.</w:t>
            </w:r>
          </w:p>
          <w:p w:rsidR="00000000" w:rsidRPr="00420C61" w:rsidP="00420C61">
            <w:pPr>
              <w:pStyle w:val="BodyText"/>
            </w:pPr>
            <w:r w:rsidRPr="00420C61">
              <w:t xml:space="preserve">Assessment must occur in workplace operational situations, where it is appropriate to do so. </w:t>
            </w:r>
          </w:p>
          <w:p w:rsidR="00000000" w:rsidRPr="00420C61" w:rsidP="00420C61">
            <w:pPr>
              <w:pStyle w:val="BodyText"/>
            </w:pPr>
            <w:r w:rsidRPr="00420C61">
              <w:t>Where this is not appropriate, assessment must occur in simulated condi</w:t>
            </w:r>
            <w:r w:rsidRPr="00420C61">
              <w:t>tions involving realistic and authentic activities that replicate operational workplace conditions.</w:t>
            </w:r>
          </w:p>
          <w:p w:rsidR="00000000" w:rsidRPr="00420C61" w:rsidP="00420C61">
            <w:pPr>
              <w:pStyle w:val="BodyText"/>
            </w:pPr>
            <w:r w:rsidRPr="00420C61">
              <w:t>Assessment processes and techniques must be appropriate to the language, literacy and numeracy requirements of the work being performed and the needs of the</w:t>
            </w:r>
            <w:r w:rsidRPr="00420C61">
              <w:t xml:space="preserve"> candidate.</w:t>
            </w:r>
          </w:p>
          <w:p w:rsidR="00000000" w:rsidRPr="00420C61" w:rsidP="00420C61">
            <w:pPr>
              <w:pStyle w:val="BodyText"/>
            </w:pPr>
            <w:r w:rsidRPr="00420C61">
              <w:t>Resources for assessment must include access to:</w:t>
            </w:r>
          </w:p>
          <w:p w:rsidR="00000000" w:rsidRPr="00420C61" w:rsidP="00420C61">
            <w:pPr>
              <w:pStyle w:val="ListBullet"/>
            </w:pPr>
            <w:r w:rsidRPr="00420C61">
              <w:t>relevant and appropriate materials, tools, equipment and PPE currently used in industry</w:t>
            </w:r>
          </w:p>
          <w:p w:rsidR="00000000" w:rsidRPr="00420C61" w:rsidP="00420C61">
            <w:pPr>
              <w:pStyle w:val="ListBullet"/>
            </w:pPr>
            <w:r w:rsidRPr="00420C61">
              <w:t>applicable documentation, including workplace requirements, relevant industry standards, regulations, code</w:t>
            </w:r>
            <w:r w:rsidRPr="00420C61">
              <w:t>s of practice and operation manuals.</w:t>
            </w:r>
          </w:p>
        </w:tc>
      </w:tr>
    </w:tbl>
    <w:p w:rsidR="00000000" w:rsidRPr="00420C61" w:rsidP="00420C61">
      <w:pPr>
        <w:pStyle w:val="NoPaddingFontSize1"/>
      </w:pPr>
    </w:p>
    <w:p w:rsidR="00000000" w:rsidRPr="00420C61" w:rsidP="00420C61">
      <w:pPr>
        <w:pStyle w:val="AllowPageBreak"/>
      </w:pPr>
    </w:p>
    <w:p w:rsidR="00000000" w:rsidRPr="00420C61" w:rsidP="00420C61">
      <w:pPr>
        <w:pStyle w:val="Heading1"/>
      </w:pPr>
      <w:bookmarkStart w:id="5" w:name="O_1267003"/>
      <w:bookmarkEnd w:id="5"/>
      <w:r w:rsidRPr="00420C61">
        <w:t>Links</w:t>
      </w:r>
    </w:p>
    <w:p w:rsidR="00000000" w:rsidRPr="00420C61" w:rsidP="00D801AD">
      <w:pPr>
        <w:pStyle w:val="BodyText"/>
      </w:pPr>
      <w:r w:rsidRPr="00420C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720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20C61" w:rsidP="00420C61"/>
    <w:sectPr w:rsidSect="00420C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61" w:rsidRPr="00D801AD" w:rsidP="00D80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AD" w:rsidP="00420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1AD" w:rsidP="00420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01AD" w:rsidP="00420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C61" w:rsidRPr="00D801AD" w:rsidP="00D80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AD" w:rsidRPr="002D2AF8" w:rsidP="00420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UETDREL003 Identify and apply controls for alternate supplies on the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801AD" w:rsidP="00420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26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60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21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C61"/>
  </w:style>
  <w:style w:type="character" w:customStyle="1" w:styleId="Heading1Char">
    <w:name w:val="Heading 1 Char"/>
    <w:basedOn w:val="DefaultParagraphFont"/>
    <w:link w:val="Heading1"/>
    <w:rsid w:val="00420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C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0C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0C6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0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C61"/>
    <w:rPr>
      <w:b/>
      <w:spacing w:val="0"/>
    </w:rPr>
  </w:style>
  <w:style w:type="paragraph" w:customStyle="1" w:styleId="SuperTitle">
    <w:name w:val="SuperTitle"/>
    <w:basedOn w:val="Title"/>
    <w:rsid w:val="00420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C61"/>
    <w:rPr>
      <w:i/>
    </w:rPr>
  </w:style>
  <w:style w:type="paragraph" w:styleId="Caption">
    <w:name w:val="caption"/>
    <w:basedOn w:val="BodyText"/>
    <w:next w:val="Normal"/>
    <w:qFormat/>
    <w:rsid w:val="00420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C61"/>
  </w:style>
  <w:style w:type="paragraph" w:styleId="TableofFigures">
    <w:name w:val="table of figures"/>
    <w:basedOn w:val="Normal"/>
    <w:next w:val="Normal"/>
    <w:semiHidden/>
    <w:rsid w:val="00420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C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0C61"/>
    <w:rPr>
      <w:rFonts w:ascii="Wingdings" w:hAnsi="Wingdings"/>
    </w:rPr>
  </w:style>
  <w:style w:type="paragraph" w:customStyle="1" w:styleId="TableHeading">
    <w:name w:val="Table Heading"/>
    <w:basedOn w:val="HeadingBase"/>
    <w:rsid w:val="00420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C61"/>
    <w:rPr>
      <w:color w:val="0033CC"/>
      <w:u w:val="none"/>
    </w:rPr>
  </w:style>
  <w:style w:type="paragraph" w:customStyle="1" w:styleId="BodyTextRight">
    <w:name w:val="Body Text Right"/>
    <w:basedOn w:val="BodyText"/>
    <w:rsid w:val="00420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C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C61"/>
    <w:rPr>
      <w:sz w:val="32"/>
    </w:rPr>
  </w:style>
  <w:style w:type="paragraph" w:customStyle="1" w:styleId="HeadingProcedure">
    <w:name w:val="Heading Procedure"/>
    <w:basedOn w:val="HeadingBase"/>
    <w:next w:val="Normal"/>
    <w:rsid w:val="00420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C61"/>
    <w:pPr>
      <w:spacing w:before="60" w:after="60"/>
    </w:pPr>
  </w:style>
  <w:style w:type="paragraph" w:styleId="ListContinue">
    <w:name w:val="List Continue"/>
    <w:basedOn w:val="List"/>
    <w:rsid w:val="00420C61"/>
    <w:pPr>
      <w:ind w:firstLine="0"/>
    </w:pPr>
  </w:style>
  <w:style w:type="paragraph" w:customStyle="1" w:styleId="ListNote">
    <w:name w:val="List Note"/>
    <w:basedOn w:val="List"/>
    <w:rsid w:val="00420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C61"/>
    <w:rPr>
      <w:rFonts w:ascii="Courier New" w:hAnsi="Courier New"/>
    </w:rPr>
  </w:style>
  <w:style w:type="paragraph" w:customStyle="1" w:styleId="NoteBullet">
    <w:name w:val="Note Bullet"/>
    <w:basedOn w:val="Note"/>
    <w:rsid w:val="00420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C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0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C61"/>
    <w:rPr>
      <w:b/>
      <w:smallCaps/>
    </w:rPr>
  </w:style>
  <w:style w:type="paragraph" w:customStyle="1" w:styleId="TableListNumber">
    <w:name w:val="Table List Number"/>
    <w:basedOn w:val="ListNumber"/>
    <w:rsid w:val="00420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C61"/>
    <w:pPr>
      <w:numPr>
        <w:numId w:val="10"/>
      </w:numPr>
    </w:pPr>
  </w:style>
  <w:style w:type="paragraph" w:customStyle="1" w:styleId="ListAlpha2">
    <w:name w:val="List Alpha 2"/>
    <w:basedOn w:val="List2"/>
    <w:rsid w:val="00420C61"/>
    <w:pPr>
      <w:numPr>
        <w:numId w:val="9"/>
      </w:numPr>
    </w:pPr>
  </w:style>
  <w:style w:type="paragraph" w:styleId="List2">
    <w:name w:val="List 2"/>
    <w:basedOn w:val="BodyText"/>
    <w:rsid w:val="00420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C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0C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0C61"/>
    <w:pPr>
      <w:numPr>
        <w:numId w:val="5"/>
      </w:numPr>
    </w:pPr>
  </w:style>
  <w:style w:type="paragraph" w:styleId="ListContinue2">
    <w:name w:val="List Continue 2"/>
    <w:basedOn w:val="List2"/>
    <w:rsid w:val="00420C61"/>
    <w:pPr>
      <w:ind w:firstLine="0"/>
    </w:pPr>
  </w:style>
  <w:style w:type="paragraph" w:styleId="ListContinue3">
    <w:name w:val="List Continue 3"/>
    <w:basedOn w:val="List3"/>
    <w:rsid w:val="00420C61"/>
    <w:pPr>
      <w:ind w:left="1021" w:firstLine="0"/>
    </w:pPr>
  </w:style>
  <w:style w:type="paragraph" w:styleId="ListContinue4">
    <w:name w:val="List Continue 4"/>
    <w:basedOn w:val="List4"/>
    <w:rsid w:val="00420C61"/>
    <w:pPr>
      <w:ind w:firstLine="0"/>
    </w:pPr>
  </w:style>
  <w:style w:type="paragraph" w:styleId="ListContinue5">
    <w:name w:val="List Continue 5"/>
    <w:basedOn w:val="List5"/>
    <w:rsid w:val="00420C61"/>
    <w:pPr>
      <w:ind w:firstLine="0"/>
    </w:pPr>
  </w:style>
  <w:style w:type="paragraph" w:styleId="ListNumber3">
    <w:name w:val="List Number 3"/>
    <w:basedOn w:val="List3"/>
    <w:rsid w:val="00420C61"/>
    <w:pPr>
      <w:numPr>
        <w:numId w:val="6"/>
      </w:numPr>
    </w:pPr>
  </w:style>
  <w:style w:type="paragraph" w:styleId="ListNumber4">
    <w:name w:val="List Number 4"/>
    <w:basedOn w:val="List4"/>
    <w:rsid w:val="00420C61"/>
    <w:pPr>
      <w:numPr>
        <w:numId w:val="7"/>
      </w:numPr>
    </w:pPr>
  </w:style>
  <w:style w:type="paragraph" w:styleId="ListNumber5">
    <w:name w:val="List Number 5"/>
    <w:basedOn w:val="List5"/>
    <w:rsid w:val="00420C61"/>
    <w:pPr>
      <w:numPr>
        <w:numId w:val="8"/>
      </w:numPr>
    </w:pPr>
  </w:style>
  <w:style w:type="paragraph" w:styleId="BlockText">
    <w:name w:val="Block Text"/>
    <w:basedOn w:val="Normal"/>
    <w:rsid w:val="00420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C61"/>
    <w:rPr>
      <w:sz w:val="16"/>
      <w:vertAlign w:val="superscript"/>
    </w:rPr>
  </w:style>
  <w:style w:type="character" w:customStyle="1" w:styleId="Symbols">
    <w:name w:val="Symbols"/>
    <w:basedOn w:val="DefaultParagraphFont"/>
    <w:rsid w:val="00420C61"/>
    <w:rPr>
      <w:rFonts w:ascii="Symbol" w:hAnsi="Symbol"/>
    </w:rPr>
  </w:style>
  <w:style w:type="character" w:customStyle="1" w:styleId="MenuOptions">
    <w:name w:val="Menu Options"/>
    <w:basedOn w:val="DefaultParagraphFont"/>
    <w:rsid w:val="00420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C61"/>
    <w:rPr>
      <w:b/>
    </w:rPr>
  </w:style>
  <w:style w:type="character" w:customStyle="1" w:styleId="Underlined">
    <w:name w:val="Underlined"/>
    <w:basedOn w:val="DefaultParagraphFont"/>
    <w:rsid w:val="00420C61"/>
    <w:rPr>
      <w:u w:val="single"/>
    </w:rPr>
  </w:style>
  <w:style w:type="paragraph" w:customStyle="1" w:styleId="TableBodyTextRight">
    <w:name w:val="Table Body Text Right"/>
    <w:basedOn w:val="TableBodyText"/>
    <w:rsid w:val="00420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C61"/>
    <w:rPr>
      <w:sz w:val="18"/>
    </w:rPr>
  </w:style>
  <w:style w:type="paragraph" w:customStyle="1" w:styleId="BodySmallRight">
    <w:name w:val="Body Small Right"/>
    <w:basedOn w:val="BodyTextRight"/>
    <w:rsid w:val="00420C61"/>
    <w:rPr>
      <w:sz w:val="18"/>
      <w:szCs w:val="18"/>
    </w:rPr>
  </w:style>
  <w:style w:type="paragraph" w:customStyle="1" w:styleId="MarginEdition">
    <w:name w:val="Margin Edition"/>
    <w:basedOn w:val="MarginNote"/>
    <w:rsid w:val="00420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C61"/>
    <w:rPr>
      <w:sz w:val="2"/>
      <w:szCs w:val="2"/>
    </w:rPr>
  </w:style>
  <w:style w:type="character" w:customStyle="1" w:styleId="Small">
    <w:name w:val="Small"/>
    <w:basedOn w:val="DefaultParagraphFont"/>
    <w:rsid w:val="00420C61"/>
    <w:rPr>
      <w:sz w:val="16"/>
    </w:rPr>
  </w:style>
  <w:style w:type="paragraph" w:customStyle="1" w:styleId="WideTable">
    <w:name w:val="Wide Table"/>
    <w:basedOn w:val="Normal"/>
    <w:rsid w:val="00420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C61"/>
  </w:style>
  <w:style w:type="paragraph" w:styleId="Quote">
    <w:name w:val="Quote"/>
    <w:basedOn w:val="Heading1"/>
    <w:link w:val="QuoteChar"/>
    <w:qFormat/>
    <w:rsid w:val="00420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C61"/>
    <w:pPr>
      <w:pageBreakBefore/>
    </w:pPr>
  </w:style>
  <w:style w:type="paragraph" w:customStyle="1" w:styleId="Border">
    <w:name w:val="Border"/>
    <w:basedOn w:val="Normal"/>
    <w:qFormat/>
    <w:rsid w:val="00420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C61"/>
    <w:rPr>
      <w:u w:val="single"/>
    </w:rPr>
  </w:style>
  <w:style w:type="character" w:customStyle="1" w:styleId="BoldandItalics">
    <w:name w:val="Bold and Italics"/>
    <w:qFormat/>
    <w:rsid w:val="00420C61"/>
    <w:rPr>
      <w:b/>
      <w:i/>
      <w:u w:val="none"/>
    </w:rPr>
  </w:style>
  <w:style w:type="paragraph" w:styleId="BalloonText">
    <w:name w:val="Balloon Text"/>
    <w:basedOn w:val="Normal"/>
    <w:link w:val="BalloonTextChar"/>
    <w:rsid w:val="00420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C61"/>
    <w:pPr>
      <w:spacing w:before="0" w:after="0"/>
    </w:pPr>
  </w:style>
  <w:style w:type="paragraph" w:customStyle="1" w:styleId="BodyTextBold">
    <w:name w:val="Body Text Bold"/>
    <w:basedOn w:val="BodyText"/>
    <w:qFormat/>
    <w:rsid w:val="00420C61"/>
    <w:rPr>
      <w:b/>
    </w:rPr>
  </w:style>
  <w:style w:type="character" w:styleId="Hyperlink">
    <w:name w:val="Hyperlink"/>
    <w:basedOn w:val="DefaultParagraphFont"/>
    <w:uiPriority w:val="99"/>
    <w:unhideWhenUsed/>
    <w:rsid w:val="00D80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4104</Characters>
  <Application>Microsoft Office Word</Application>
  <DocSecurity>0</DocSecurity>
  <Lines>105</Lines>
  <Paragraphs>84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UETDREL003 Identify and apply controls for alternate supplies on the distribution network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