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17" w:rsidP="00416817">
      <w:pPr>
        <w:pStyle w:val="Title"/>
      </w:pPr>
      <w:r>
        <w:fldChar w:fldCharType="begin"/>
      </w:r>
      <w:r>
        <w:instrText xml:space="preserve"> TITLE   \* MERGEFORMAT </w:instrText>
      </w:r>
      <w:r>
        <w:fldChar w:fldCharType="separate"/>
      </w:r>
      <w:r>
        <w:t>UETDRDU022 Maintain gas and oil pressure systems for underground cables</w:t>
      </w:r>
      <w:r>
        <w:fldChar w:fldCharType="end"/>
      </w:r>
    </w:p>
    <w:p w:rsidR="00416817" w:rsidP="00416817">
      <w:pPr>
        <w:pStyle w:val="Version"/>
        <w:sectPr w:rsidSect="00D61A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A20" w:rsidP="00D61A20">
      <w:pPr>
        <w:pStyle w:val="SuperHeading"/>
      </w:pPr>
      <w:r w:rsidRPr="00D61A20">
        <w:t>UETDRDU022 Maintain gas and oil pressure systems for underground cables</w:t>
      </w:r>
    </w:p>
    <w:p w:rsidR="00000000" w:rsidRPr="00D61A20" w:rsidP="00D61A20">
      <w:pPr>
        <w:pStyle w:val="Heading1"/>
      </w:pPr>
      <w:bookmarkStart w:id="1" w:name="O_1236869"/>
      <w:bookmarkEnd w:id="1"/>
      <w:r w:rsidRPr="00D61A20">
        <w:t>Modification History</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Release 1. This is the first release of this unit of competency in the UET Transmission, Distribution and Rail Sector Training Package Release 4.0.</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2" w:name="O_1236870"/>
      <w:bookmarkEnd w:id="2"/>
      <w:r w:rsidRPr="00D61A20">
        <w:t>Application</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This unit includes the skills and knowledge required to maintain gas and o</w:t>
            </w:r>
            <w:r w:rsidRPr="00D61A20">
              <w:t>il pressure systems for underground cables in the electricity supply industry (ESI).</w:t>
            </w:r>
          </w:p>
          <w:p w:rsidR="00000000" w:rsidRPr="00D61A20" w:rsidP="00D61A20">
            <w:pPr>
              <w:pStyle w:val="BodyText"/>
            </w:pPr>
            <w:r w:rsidRPr="00D61A20">
              <w:t xml:space="preserve">It includes using specialised gas and oil processing and control equipment, determining route profiles and the operation of pressurised equipment. </w:t>
            </w:r>
          </w:p>
          <w:p w:rsidR="00000000" w:rsidRPr="00D61A20" w:rsidP="00D61A20">
            <w:pPr>
              <w:pStyle w:val="BodyText"/>
            </w:pPr>
            <w:r w:rsidRPr="00D61A20">
              <w:t xml:space="preserve">The application of the </w:t>
            </w:r>
            <w:r w:rsidRPr="00D61A20">
              <w:t xml:space="preserve">skills and knowledge described in this unit may require a licence/registration to practice in the workplace. </w:t>
            </w:r>
          </w:p>
          <w:p w:rsidR="00000000" w:rsidRPr="00D61A20" w:rsidP="00D61A20">
            <w:pPr>
              <w:pStyle w:val="BodyText"/>
            </w:pPr>
            <w:r w:rsidRPr="00D61A20">
              <w:t>Other conditions may also apply under state and territory legislative and regulatory licensing requirements which must be confirmed prior to comme</w:t>
            </w:r>
            <w:r w:rsidRPr="00D61A20">
              <w:t>ncing this unit.</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3" w:name="O_1236871"/>
      <w:bookmarkEnd w:id="3"/>
      <w:r w:rsidRPr="00D61A20">
        <w:t>Pre-requisite Unit</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UETDRDU020 Joint, terminate and maintain gas and oil filled underground cables</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4" w:name="O_1236872"/>
      <w:bookmarkEnd w:id="4"/>
      <w:r w:rsidRPr="00D61A20">
        <w:t>Competency Field</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Distribution Underground</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5" w:name="O_1236873"/>
      <w:bookmarkEnd w:id="5"/>
      <w:r w:rsidRPr="00D61A20">
        <w:t>Unit Sector</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Not applicable.</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6" w:name="O_1236874"/>
      <w:bookmarkEnd w:id="6"/>
      <w:r w:rsidRPr="00D61A2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61A2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PERFORMANCE CRITERIA</w:t>
            </w:r>
          </w:p>
        </w:tc>
      </w:tr>
      <w:tr w:rsidTr="00D61A2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Performance criteria describe the performance needed to demonstrate achievement of the element.</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 xml:space="preserve">Prepare to maintain gas and oil pressure systems </w:t>
            </w:r>
            <w:r w:rsidRPr="00D61A20">
              <w:rPr>
                <w:rStyle w:val="SpecialBold"/>
              </w:rPr>
              <w:t>for underground cables</w:t>
            </w: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 xml:space="preserve">Work plan is obtained, confirmed and communicated with relevant personnel in accordance with workplace </w:t>
            </w:r>
            <w:r w:rsidRPr="00D61A20">
              <w:t>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Materials required for work are determined and obtained i</w:t>
            </w:r>
            <w:r w:rsidRPr="00D61A20">
              <w:t>n accordance with work plan and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Work is prioritised and sequenced for completion in accordance with work plan and workplace requirement</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Hazards are identified, risks assessed, and control measures identified and applied</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Work permits are received and signed in 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Plant, tools, equipment and personal protective equipment (PPE) required for work are determined, obtained and confirmed in working order</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Worksite is p</w:t>
            </w:r>
            <w:r w:rsidRPr="00D61A20">
              <w:t>repared in accordance with the work plan and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Maintain gas and oil pressure systems for underground cables</w:t>
            </w: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Legislation, regulations, standards, codes of practice and organisational workplace requirements for the work to be perf</w:t>
            </w:r>
            <w:r w:rsidRPr="00D61A20">
              <w:t>ormed are applied and monitored</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Lifting, working at heights, working in confined spaces and the use of plant, tools, equipment and PPE are carried out in 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2.3</w:t>
            </w:r>
          </w:p>
          <w:p w:rsidR="00000000">
            <w:pPr>
              <w:pStyle w:val="BodyText"/>
              <w:keepLines w:val="0"/>
              <w:spacing w:before="0" w:after="0"/>
              <w:rPr>
                <w:rFonts w:ascii="Tahoma" w:hAnsi="Tahoma"/>
                <w:sz w:val="20"/>
                <w:lang w:val="en-NZ"/>
              </w:rPr>
            </w:pP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Hazard control measures are monitored in accorda</w:t>
            </w:r>
            <w:r w:rsidRPr="00D61A20">
              <w:t>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Gas and oil pressure systems for underground cables are maintained in accordance with the manufacturer</w:t>
            </w:r>
            <w:r>
              <w:t>’</w:t>
            </w:r>
            <w:r w:rsidRPr="00D61A20">
              <w:t>s instructions, work plan and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Incidents or unplanned events are responded to in 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Quality checks of work are undertaken in accordance with work plan and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Completed work is checked f</w:t>
            </w:r>
            <w:r w:rsidRPr="00D61A20">
              <w:t>or compliance against the work plan and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Incidents or unplanned events are reported in 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 xml:space="preserve">Worksite is rehabilitated, cleaned and made safe in </w:t>
            </w:r>
            <w:r w:rsidRPr="00D61A20">
              <w:t>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 xml:space="preserve">Plant, tools and equipment are cleaned, checked and returned to storage, and surplus resources and materials are managed in accordance with workplace requirements </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Work permits are signed off in accordance with workplace requirements</w:t>
            </w:r>
          </w:p>
        </w:tc>
      </w:tr>
      <w:tr w:rsidTr="00D61A2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1A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Work</w:t>
            </w:r>
            <w:r w:rsidRPr="00D61A20">
              <w:t xml:space="preserve"> records, reports and documentation are completed in accordance with workplace requirements</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7" w:name="O_1236875"/>
      <w:bookmarkEnd w:id="7"/>
      <w:r w:rsidRPr="00D61A20">
        <w:t>Foundation Skills</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Foundation skills essential to performance are explicit in the performance criteria of this unit of competency.</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8" w:name="O_1236876"/>
      <w:bookmarkEnd w:id="8"/>
      <w:r w:rsidRPr="00D61A20">
        <w:t>Range of Conditions</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Range is restricted to essential operating conditions and any other variables essential to the work environment.</w:t>
            </w:r>
          </w:p>
          <w:p w:rsidR="00000000" w:rsidRPr="00D61A20" w:rsidP="00D61A20">
            <w:pPr>
              <w:pStyle w:val="BodyText"/>
            </w:pPr>
            <w:r w:rsidRPr="00D61A20">
              <w:t>Non-essential conditions may be found in the UET Transmission, Distribution and Rail Sector Training Package Compa</w:t>
            </w:r>
            <w:r w:rsidRPr="00D61A20">
              <w:t>nion Volume Implementation Guide.</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9" w:name="O_1236877"/>
      <w:bookmarkEnd w:id="9"/>
      <w:r w:rsidRPr="00D61A20">
        <w:t>Unit Mapping Information</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This unit replaces and is not equivalent to UETDRDU003 Install and maintain gas and oil pressure systems for specialised underground cables.</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10" w:name="O_1236884"/>
      <w:bookmarkEnd w:id="10"/>
      <w:r w:rsidRPr="00D61A20">
        <w:t>Links</w:t>
      </w:r>
    </w:p>
    <w:p w:rsidR="00000000" w:rsidRPr="00D61A20" w:rsidP="00416817">
      <w:pPr>
        <w:pStyle w:val="BodyText"/>
      </w:pPr>
      <w:r w:rsidRPr="00D61A20">
        <w:t>Companio</w:t>
      </w:r>
      <w:r w:rsidRPr="00D61A20">
        <w:t xml:space="preserve">n Volume Implementation Guides are found in VETNet - </w:t>
      </w:r>
      <w:r>
        <w:fldChar w:fldCharType="begin"/>
      </w:r>
      <w:r>
        <w:instrText xml:space="preserve"> HYPERLINK "https://vetnet.gov.au/Pages/TrainingDocs.aspx?q=229bace1-b7bc-4653-9300-dffb13ecfad7" </w:instrText>
      </w:r>
      <w:r>
        <w:fldChar w:fldCharType="separate"/>
      </w:r>
      <w:r w:rsidRPr="00156538">
        <w:rPr>
          <w:rStyle w:val="Hyperlink"/>
        </w:rPr>
        <w:t>https://vetnet.gov.au/Pages/TrainingDocs.aspx?q=229bace1-b7bc-4653-9300-dffb13ecfad7</w:t>
      </w:r>
      <w:r>
        <w:fldChar w:fldCharType="end"/>
      </w:r>
    </w:p>
    <w:p w:rsidR="00000000" w:rsidRPr="00D61A20" w:rsidP="00416817">
      <w:pPr>
        <w:pStyle w:val="BodyText"/>
        <w:sectPr w:rsidSect="00D61A20">
          <w:headerReference w:type="default" r:id="rId10"/>
          <w:footerReference w:type="default" r:id="rId11"/>
          <w:pgSz w:w="11908" w:h="16833"/>
          <w:pgMar w:top="1702" w:right="1418" w:bottom="1702" w:left="1418" w:header="992" w:footer="992" w:gutter="0"/>
          <w:cols w:space="720"/>
          <w:noEndnote/>
          <w:docGrid w:linePitch="299"/>
        </w:sectPr>
      </w:pPr>
    </w:p>
    <w:p w:rsidR="00000000" w:rsidRPr="00D61A20" w:rsidP="00D61A20">
      <w:pPr>
        <w:pStyle w:val="SuperHeading"/>
      </w:pPr>
      <w:r w:rsidRPr="00D61A20">
        <w:t xml:space="preserve">Assessment </w:t>
      </w:r>
      <w:r w:rsidRPr="00D61A20">
        <w:t>Requirements for UETDRDU022 Maintain gas and oil pressure systems for underground cables</w:t>
      </w:r>
    </w:p>
    <w:p w:rsidR="00000000" w:rsidRPr="00D61A20" w:rsidP="00D61A20">
      <w:pPr>
        <w:pStyle w:val="Heading1"/>
      </w:pPr>
      <w:bookmarkStart w:id="11" w:name="O_1236879"/>
      <w:bookmarkEnd w:id="11"/>
      <w:r w:rsidRPr="00D61A20">
        <w:t>Modification History</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Release 1. This is the first release of this unit of competency in the UET Transmission, Distribution and Rail Sector Training P</w:t>
            </w:r>
            <w:r w:rsidRPr="00D61A20">
              <w:t>ackage Release 4.0.</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12" w:name="O_1236880"/>
      <w:bookmarkEnd w:id="12"/>
      <w:r w:rsidRPr="00D61A20">
        <w:t>Performance Evidence</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 xml:space="preserve">Evidence required to demonstrate competence in this unit must be relevant to and satisfy all the requirements of the elements and performance criteria on at least one (1) occasion and include:  </w:t>
            </w:r>
          </w:p>
        </w:tc>
      </w:tr>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ListBullet"/>
            </w:pPr>
            <w:r w:rsidRPr="00D61A20">
              <w:t>applying relevant legislation, regulations, standards, codes of practice and workplace requirements, including:</w:t>
            </w:r>
          </w:p>
          <w:p w:rsidR="00000000" w:rsidRPr="00D61A20" w:rsidP="00D61A20">
            <w:pPr>
              <w:pStyle w:val="ListBullet2"/>
            </w:pPr>
            <w:r w:rsidRPr="00D61A20">
              <w:t>work health and safety (WHS)/occupational health and safety (OHS)</w:t>
            </w:r>
          </w:p>
          <w:p w:rsidR="00000000" w:rsidRPr="00D61A20" w:rsidP="00D61A20">
            <w:pPr>
              <w:pStyle w:val="ListBullet"/>
            </w:pPr>
            <w:r w:rsidRPr="00D61A20">
              <w:t>obtaining, inspecting and using relevant personal protective equipment (PPE)</w:t>
            </w:r>
          </w:p>
          <w:p w:rsidR="00000000" w:rsidRPr="00D61A20" w:rsidP="00D61A20">
            <w:pPr>
              <w:pStyle w:val="ListBullet"/>
            </w:pPr>
            <w:r w:rsidRPr="00D61A20">
              <w:t>obtaining and signing relevant work permits in accordance with workplace requirements</w:t>
            </w:r>
          </w:p>
          <w:p w:rsidR="00000000" w:rsidRPr="00D61A20" w:rsidP="00D61A20">
            <w:pPr>
              <w:pStyle w:val="ListBullet"/>
            </w:pPr>
            <w:r w:rsidRPr="00D61A20">
              <w:t>identifying hazards, assessing risks, identifying, applying and monitoring control measures</w:t>
            </w:r>
          </w:p>
          <w:p w:rsidR="00000000" w:rsidRPr="00D61A20" w:rsidP="00D61A20">
            <w:pPr>
              <w:pStyle w:val="ListBullet"/>
            </w:pPr>
            <w:r w:rsidRPr="00D61A20">
              <w:t>u</w:t>
            </w:r>
            <w:r w:rsidRPr="00D61A20">
              <w:t>sing the following gas and oil processing and control equipment:</w:t>
            </w:r>
          </w:p>
          <w:p w:rsidR="00000000" w:rsidRPr="00D61A20" w:rsidP="00D61A20">
            <w:pPr>
              <w:pStyle w:val="ListBullet2"/>
            </w:pPr>
            <w:r w:rsidRPr="00D61A20">
              <w:t>gas analyser/detector</w:t>
            </w:r>
          </w:p>
          <w:p w:rsidR="00000000" w:rsidRPr="00D61A20" w:rsidP="00D61A20">
            <w:pPr>
              <w:pStyle w:val="ListBullet2"/>
            </w:pPr>
            <w:r w:rsidRPr="00D61A20">
              <w:t>cable freezing equipment</w:t>
            </w:r>
          </w:p>
          <w:p w:rsidR="00000000" w:rsidRPr="00D61A20" w:rsidP="00D61A20">
            <w:pPr>
              <w:pStyle w:val="ListBullet2"/>
            </w:pPr>
            <w:r w:rsidRPr="00D61A20">
              <w:t>accessory impregnation equipment</w:t>
            </w:r>
          </w:p>
          <w:p w:rsidR="00000000" w:rsidRPr="00D61A20" w:rsidP="00D61A20">
            <w:pPr>
              <w:pStyle w:val="ListBullet2"/>
            </w:pPr>
            <w:r w:rsidRPr="00D61A20">
              <w:t>oil degasification plant</w:t>
            </w:r>
          </w:p>
          <w:p w:rsidR="00000000" w:rsidRPr="00D61A20" w:rsidP="00D61A20">
            <w:pPr>
              <w:pStyle w:val="ListBullet2"/>
            </w:pPr>
            <w:r w:rsidRPr="00D61A20">
              <w:t>manometers</w:t>
            </w:r>
          </w:p>
          <w:p w:rsidR="00000000" w:rsidRPr="00D61A20" w:rsidP="00D61A20">
            <w:pPr>
              <w:pStyle w:val="ListBullet2"/>
            </w:pPr>
            <w:r w:rsidRPr="00D61A20">
              <w:t>flow boards</w:t>
            </w:r>
          </w:p>
          <w:p w:rsidR="00000000" w:rsidRPr="00D61A20" w:rsidP="00D61A20">
            <w:pPr>
              <w:pStyle w:val="ListBullet2"/>
            </w:pPr>
            <w:r w:rsidRPr="00D61A20">
              <w:t>vacuum pumps</w:t>
            </w:r>
          </w:p>
          <w:p w:rsidR="00000000" w:rsidRPr="00D61A20" w:rsidP="00D61A20">
            <w:pPr>
              <w:pStyle w:val="ListBullet2"/>
            </w:pPr>
            <w:r w:rsidRPr="00D61A20">
              <w:t>site bottles</w:t>
            </w:r>
          </w:p>
          <w:p w:rsidR="00000000" w:rsidRPr="00D61A20" w:rsidP="00D61A20">
            <w:pPr>
              <w:pStyle w:val="ListBullet2"/>
            </w:pPr>
            <w:r w:rsidRPr="00D61A20">
              <w:t>gas cylinders</w:t>
            </w:r>
          </w:p>
          <w:p w:rsidR="00000000" w:rsidRPr="00D61A20" w:rsidP="00D61A20">
            <w:pPr>
              <w:pStyle w:val="ListBullet2"/>
            </w:pPr>
            <w:r w:rsidRPr="00D61A20">
              <w:t>liquid nitrogen cylinders</w:t>
            </w:r>
          </w:p>
          <w:p w:rsidR="00000000" w:rsidRPr="00D61A20" w:rsidP="00D61A20">
            <w:pPr>
              <w:pStyle w:val="ListBullet2"/>
            </w:pPr>
            <w:r w:rsidRPr="00D61A20">
              <w:t>pressure/vacuum meters</w:t>
            </w:r>
          </w:p>
          <w:p w:rsidR="00000000" w:rsidRPr="00D61A20" w:rsidP="00D61A20">
            <w:pPr>
              <w:pStyle w:val="ListBullet2"/>
            </w:pPr>
            <w:r w:rsidRPr="00D61A20">
              <w:t>oil evacuation pumps</w:t>
            </w:r>
          </w:p>
          <w:p w:rsidR="00000000" w:rsidRPr="00D61A20" w:rsidP="00D61A20">
            <w:pPr>
              <w:pStyle w:val="ListBullet2"/>
            </w:pPr>
            <w:r w:rsidRPr="00D61A20">
              <w:t>gas and oil piping equipment</w:t>
            </w:r>
          </w:p>
          <w:p w:rsidR="00000000" w:rsidRPr="00D61A20" w:rsidP="00D61A20">
            <w:pPr>
              <w:pStyle w:val="ListBullet2"/>
            </w:pPr>
            <w:r w:rsidRPr="00D61A20">
              <w:t>oil sampling equipment</w:t>
            </w:r>
          </w:p>
          <w:p w:rsidR="00000000" w:rsidRPr="00D61A20" w:rsidP="00D61A20">
            <w:pPr>
              <w:pStyle w:val="ListBullet"/>
            </w:pPr>
            <w:r w:rsidRPr="00D61A20">
              <w:t>using the following gas processing and control equipment:</w:t>
            </w:r>
          </w:p>
          <w:p w:rsidR="00000000" w:rsidRPr="00D61A20" w:rsidP="00D61A20">
            <w:pPr>
              <w:pStyle w:val="ListBullet2"/>
            </w:pPr>
            <w:r w:rsidRPr="00D61A20">
              <w:t>gas control cubicles</w:t>
            </w:r>
          </w:p>
          <w:p w:rsidR="00000000" w:rsidRPr="00D61A20" w:rsidP="00D61A20">
            <w:pPr>
              <w:pStyle w:val="ListBullet2"/>
            </w:pPr>
            <w:r w:rsidRPr="00D61A20">
              <w:t>nitrogen packs</w:t>
            </w:r>
          </w:p>
          <w:p w:rsidR="00000000" w:rsidRPr="00D61A20" w:rsidP="00D61A20">
            <w:pPr>
              <w:pStyle w:val="ListBullet"/>
            </w:pPr>
            <w:r w:rsidRPr="00D61A20">
              <w:t>using the following oil processing an</w:t>
            </w:r>
            <w:r w:rsidRPr="00D61A20">
              <w:t>d control equipment:</w:t>
            </w:r>
          </w:p>
          <w:p w:rsidR="00000000" w:rsidRPr="00D61A20" w:rsidP="00D61A20">
            <w:pPr>
              <w:pStyle w:val="ListBullet2"/>
            </w:pPr>
            <w:r w:rsidRPr="00D61A20">
              <w:t>oil control cubicles</w:t>
            </w:r>
          </w:p>
          <w:p w:rsidR="00000000" w:rsidRPr="00D61A20" w:rsidP="00D61A20">
            <w:pPr>
              <w:pStyle w:val="ListBullet2"/>
            </w:pPr>
            <w:r w:rsidRPr="00D61A20">
              <w:t>oil degasification units</w:t>
            </w:r>
          </w:p>
          <w:p w:rsidR="00000000" w:rsidRPr="00D61A20" w:rsidP="00D61A20">
            <w:pPr>
              <w:pStyle w:val="ListBullet2"/>
            </w:pPr>
            <w:r w:rsidRPr="00D61A20">
              <w:t>oil pressure tanks</w:t>
            </w:r>
          </w:p>
          <w:p w:rsidR="00000000" w:rsidRPr="00D61A20" w:rsidP="00D61A20">
            <w:pPr>
              <w:pStyle w:val="ListBullet"/>
            </w:pPr>
            <w:r w:rsidRPr="00D61A20">
              <w:t>maintaining oil and gas filled underground cables including jointing and terminating</w:t>
            </w:r>
          </w:p>
          <w:p w:rsidR="00000000" w:rsidRPr="00D61A20" w:rsidP="00D61A20">
            <w:pPr>
              <w:pStyle w:val="ListBullet"/>
            </w:pPr>
            <w:r w:rsidRPr="00D61A20">
              <w:t>dealing with unplanned events on at least one (1) occasion.</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13" w:name="O_1236881"/>
      <w:bookmarkEnd w:id="13"/>
      <w:r w:rsidRPr="00D61A20">
        <w:t>Knowledge Evidence</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1A20">
            <w:pPr>
              <w:pStyle w:val="BodyText"/>
              <w:rPr>
                <w:lang w:val="en-NZ"/>
              </w:rPr>
            </w:pPr>
            <w:r w:rsidRPr="00D61A20">
              <w:t>Evidence required to demonstrate competence in this unit must be relevant to and satisfy the requirements of the elements and performance criteria and include knowledge of:</w:t>
            </w:r>
          </w:p>
        </w:tc>
      </w:tr>
      <w:tr w:rsidTr="00D61A20">
        <w:tblPrEx>
          <w:tblW w:w="9497" w:type="dxa"/>
          <w:tblLayout w:type="fixed"/>
          <w:tblCellMar>
            <w:left w:w="62" w:type="dxa"/>
            <w:right w:w="62" w:type="dxa"/>
          </w:tblCellMar>
          <w:tblLook w:val="0000"/>
        </w:tblPrEx>
        <w:trPr>
          <w:trHeight w:val="2010"/>
        </w:trPr>
        <w:tc>
          <w:tcPr>
            <w:tcW w:w="9497" w:type="dxa"/>
            <w:tcBorders>
              <w:top w:val="nil"/>
              <w:left w:val="nil"/>
              <w:bottom w:val="nil"/>
              <w:right w:val="nil"/>
            </w:tcBorders>
            <w:tcMar>
              <w:top w:w="0" w:type="dxa"/>
              <w:left w:w="62" w:type="dxa"/>
              <w:bottom w:w="0" w:type="dxa"/>
              <w:right w:w="62" w:type="dxa"/>
            </w:tcMar>
          </w:tcPr>
          <w:p w:rsidR="00000000" w:rsidRPr="00D61A20" w:rsidP="00D61A20">
            <w:pPr>
              <w:pStyle w:val="ListBullet"/>
            </w:pPr>
            <w:r w:rsidRPr="00D61A20">
              <w:t>relevant legislation, regulations, standards, codes of practice and organisational workplace requirements, including WHS/OHS requirements</w:t>
            </w:r>
          </w:p>
          <w:p w:rsidR="00000000" w:rsidRPr="00D61A20" w:rsidP="00D61A20">
            <w:pPr>
              <w:pStyle w:val="ListBullet"/>
            </w:pPr>
            <w:r w:rsidRPr="00D61A20">
              <w:t xml:space="preserve">hazard, risk assessment and risk control requirements including potential hazards </w:t>
            </w:r>
          </w:p>
          <w:p w:rsidR="00000000" w:rsidRPr="00D61A20" w:rsidP="00D61A20">
            <w:pPr>
              <w:pStyle w:val="ListBullet"/>
            </w:pPr>
            <w:r w:rsidRPr="00D61A20">
              <w:t xml:space="preserve">types and application of PPE </w:t>
            </w:r>
          </w:p>
          <w:p w:rsidR="00000000" w:rsidRPr="00D61A20" w:rsidP="00D61A20">
            <w:pPr>
              <w:pStyle w:val="ListBullet"/>
            </w:pPr>
            <w:r w:rsidRPr="00D61A20">
              <w:t xml:space="preserve">safe </w:t>
            </w:r>
            <w:r w:rsidRPr="00D61A20">
              <w:t>use of plant, tools and equipment</w:t>
            </w:r>
          </w:p>
          <w:p w:rsidR="00000000" w:rsidRPr="00D61A20" w:rsidP="00D61A20">
            <w:pPr>
              <w:pStyle w:val="ListBullet"/>
            </w:pPr>
            <w:r w:rsidRPr="00D61A20">
              <w:t>application, purpose and types of permits</w:t>
            </w:r>
          </w:p>
          <w:p w:rsidR="00000000" w:rsidRPr="00D61A20" w:rsidP="00D61A20">
            <w:pPr>
              <w:pStyle w:val="ListBullet"/>
            </w:pPr>
            <w:r w:rsidRPr="00D61A20">
              <w:t>events constituting an unplanned event or incident</w:t>
            </w:r>
          </w:p>
          <w:p w:rsidR="00000000" w:rsidRPr="00D61A20" w:rsidP="00D61A20">
            <w:pPr>
              <w:pStyle w:val="ListBullet"/>
            </w:pPr>
            <w:r w:rsidRPr="00D61A20">
              <w:t>procedures for responding to an unplanned event or incident</w:t>
            </w:r>
          </w:p>
          <w:p w:rsidR="00000000" w:rsidRPr="00D61A20" w:rsidP="00D61A20">
            <w:pPr>
              <w:pStyle w:val="ListBullet"/>
            </w:pPr>
            <w:r w:rsidRPr="00D61A20">
              <w:t>oil and gas filled underground cables including:</w:t>
            </w:r>
          </w:p>
          <w:p w:rsidR="00000000" w:rsidRPr="00D61A20" w:rsidP="00D61A20">
            <w:pPr>
              <w:pStyle w:val="ListBullet2"/>
            </w:pPr>
            <w:r w:rsidRPr="00D61A20">
              <w:t>types of cables, in</w:t>
            </w:r>
            <w:r w:rsidRPr="00D61A20">
              <w:t>cluding properties of paper insulation, construction, reasons for gas or oil filled cables, characteristics and capabilities of the cable, pressure and volume characteristics of gas and oil, and precautions when handling</w:t>
            </w:r>
          </w:p>
          <w:p w:rsidR="00000000" w:rsidRPr="00D61A20" w:rsidP="00D61A20">
            <w:pPr>
              <w:pStyle w:val="ListBullet2"/>
            </w:pPr>
            <w:r w:rsidRPr="00D61A20">
              <w:t xml:space="preserve">types and functions of tools and equipment </w:t>
            </w:r>
          </w:p>
          <w:p w:rsidR="00000000" w:rsidRPr="00D61A20" w:rsidP="00D61A20">
            <w:pPr>
              <w:pStyle w:val="ListBullet2"/>
            </w:pPr>
            <w:r w:rsidRPr="00D61A20">
              <w:t>techniques when testing, inspecting, handling, storing and disposing of cables</w:t>
            </w:r>
          </w:p>
          <w:p w:rsidR="00000000" w:rsidRPr="00D61A20" w:rsidP="00D61A20">
            <w:pPr>
              <w:pStyle w:val="ListBullet"/>
            </w:pPr>
            <w:r w:rsidRPr="00D61A20">
              <w:t>gas and oil pressurised systems including:</w:t>
            </w:r>
          </w:p>
          <w:p w:rsidR="00000000" w:rsidRPr="00D61A20" w:rsidP="00D61A20">
            <w:pPr>
              <w:pStyle w:val="ListBullet2"/>
            </w:pPr>
            <w:r w:rsidRPr="00D61A20">
              <w:t xml:space="preserve">types, characteristics and capabilities of pressurised systems </w:t>
            </w:r>
          </w:p>
          <w:p w:rsidR="00000000" w:rsidRPr="00D61A20" w:rsidP="00D61A20">
            <w:pPr>
              <w:pStyle w:val="ListBullet2"/>
            </w:pPr>
            <w:r w:rsidRPr="00D61A20">
              <w:t>types and functions of s</w:t>
            </w:r>
            <w:r w:rsidRPr="00D61A20">
              <w:t>pecialised tools</w:t>
            </w:r>
          </w:p>
          <w:p w:rsidR="00000000" w:rsidRPr="00D61A20" w:rsidP="00D61A20">
            <w:pPr>
              <w:pStyle w:val="ListBullet2"/>
            </w:pPr>
            <w:r w:rsidRPr="00D61A20">
              <w:t>techniques when testing, inspecting, handling, storing and disposing of pressurised systems</w:t>
            </w:r>
          </w:p>
          <w:p w:rsidR="00000000" w:rsidRPr="00D61A20" w:rsidP="00D61A20">
            <w:pPr>
              <w:pStyle w:val="ListBullet2"/>
            </w:pPr>
            <w:r w:rsidRPr="00D61A20">
              <w:t>techniques in the safe maintenance of pressurised systems</w:t>
            </w:r>
          </w:p>
          <w:p w:rsidR="00000000" w:rsidRPr="00D61A20" w:rsidP="00D61A20">
            <w:pPr>
              <w:pStyle w:val="ListBullet2"/>
            </w:pPr>
            <w:r w:rsidRPr="00D61A20">
              <w:t>techniques in the safe use of tools and equipment</w:t>
            </w:r>
          </w:p>
          <w:p w:rsidR="00000000" w:rsidRPr="00D61A20" w:rsidP="00D61A20">
            <w:pPr>
              <w:pStyle w:val="ListBullet2"/>
            </w:pPr>
            <w:r w:rsidRPr="00D61A20">
              <w:t>techniques in determining route profile</w:t>
            </w:r>
            <w:r w:rsidRPr="00D61A20">
              <w:t>s and access locations.</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14" w:name="O_1236882"/>
      <w:bookmarkEnd w:id="14"/>
      <w:r w:rsidRPr="00D61A20">
        <w:t>Assessment Conditions</w:t>
      </w:r>
    </w:p>
    <w:tbl>
      <w:tblPr>
        <w:tblW w:w="9497" w:type="dxa"/>
        <w:tblLayout w:type="fixed"/>
        <w:tblCellMar>
          <w:left w:w="62" w:type="dxa"/>
          <w:right w:w="62" w:type="dxa"/>
        </w:tblCellMar>
        <w:tblLook w:val="0000"/>
      </w:tblPr>
      <w:tblGrid>
        <w:gridCol w:w="9497"/>
      </w:tblGrid>
      <w:tr w:rsidTr="00D61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A20" w:rsidP="00D61A20">
            <w:pPr>
              <w:pStyle w:val="BodyText"/>
            </w:pPr>
            <w:r w:rsidRPr="00D61A20">
              <w:t>Assessors must hold credentials specified within the Standards for Registered Training Organisations current at the time of assessment.</w:t>
            </w:r>
          </w:p>
          <w:p w:rsidR="00000000" w:rsidRPr="00D61A20" w:rsidP="00D61A20">
            <w:pPr>
              <w:pStyle w:val="BodyText"/>
            </w:pPr>
            <w:r w:rsidRPr="00D61A20">
              <w:t>Assessment must satisfy the Principles of Assessment and Rules of Evidence and all regulatory requirements included within the Standards for Registered Training Organisations current at the time of assessment.</w:t>
            </w:r>
          </w:p>
          <w:p w:rsidR="00000000" w:rsidRPr="00D61A20" w:rsidP="00D61A20">
            <w:pPr>
              <w:pStyle w:val="BodyText"/>
            </w:pPr>
            <w:r w:rsidRPr="00D61A20">
              <w:t>Assessment must occur in workplace operational</w:t>
            </w:r>
            <w:r w:rsidRPr="00D61A20">
              <w:t xml:space="preserve"> situations where it is appropriate to do so.</w:t>
            </w:r>
          </w:p>
          <w:p w:rsidR="00000000" w:rsidRPr="00D61A20" w:rsidP="00D61A20">
            <w:pPr>
              <w:pStyle w:val="BodyText"/>
            </w:pPr>
            <w:r w:rsidRPr="00D61A20">
              <w:t>Where this is not appropriate, assessment must occur in simulated conditions involving realistic and authentic activities that replicate operational workplace conditions.</w:t>
            </w:r>
          </w:p>
          <w:p w:rsidR="00000000" w:rsidRPr="00D61A20" w:rsidP="00D61A20">
            <w:pPr>
              <w:pStyle w:val="BodyText"/>
            </w:pPr>
            <w:r w:rsidRPr="00D61A20">
              <w:t>Assessment processes and techniques mus</w:t>
            </w:r>
            <w:r w:rsidRPr="00D61A20">
              <w:t>t be appropriate to the language, literacy and numeracy requirements of the work being performed and the needs of the candidate.</w:t>
            </w:r>
          </w:p>
          <w:p w:rsidR="00000000" w:rsidRPr="00D61A20" w:rsidP="00D61A20">
            <w:pPr>
              <w:pStyle w:val="BodyText"/>
            </w:pPr>
            <w:r w:rsidRPr="00D61A20">
              <w:t>Resources for assessment must include access to:</w:t>
            </w:r>
          </w:p>
          <w:p w:rsidR="00000000" w:rsidRPr="00D61A20" w:rsidP="00D61A20">
            <w:pPr>
              <w:pStyle w:val="ListBullet"/>
            </w:pPr>
            <w:r w:rsidRPr="00D61A20">
              <w:t>relevant and appropriate materials, tools, equipment and PPE currently used i</w:t>
            </w:r>
            <w:r w:rsidRPr="00D61A20">
              <w:t>n industry</w:t>
            </w:r>
          </w:p>
          <w:p w:rsidR="00000000" w:rsidRPr="00D61A20" w:rsidP="00D61A20">
            <w:pPr>
              <w:pStyle w:val="ListBullet"/>
            </w:pPr>
            <w:r w:rsidRPr="00D61A20">
              <w:t>applicable documentation, including workplace requirements, relevant industry standards, equipment specifications, regulations, codes of practice and operation manuals.</w:t>
            </w:r>
          </w:p>
        </w:tc>
      </w:tr>
    </w:tbl>
    <w:p w:rsidR="00000000" w:rsidRPr="00D61A20" w:rsidP="00D61A20">
      <w:pPr>
        <w:pStyle w:val="NoPaddingFontSize1"/>
      </w:pPr>
    </w:p>
    <w:p w:rsidR="00000000" w:rsidRPr="00D61A20" w:rsidP="00D61A20">
      <w:pPr>
        <w:pStyle w:val="AllowPageBreak"/>
      </w:pPr>
    </w:p>
    <w:p w:rsidR="00000000" w:rsidRPr="00D61A20" w:rsidP="00D61A20">
      <w:pPr>
        <w:pStyle w:val="Heading1"/>
      </w:pPr>
      <w:bookmarkStart w:id="15" w:name="O_1236885"/>
      <w:bookmarkEnd w:id="15"/>
      <w:r w:rsidRPr="00D61A20">
        <w:t>Links</w:t>
      </w:r>
    </w:p>
    <w:p w:rsidR="00000000" w:rsidRPr="00D61A20" w:rsidP="00416817">
      <w:pPr>
        <w:pStyle w:val="BodyText"/>
      </w:pPr>
      <w:r w:rsidRPr="00D61A2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56538">
        <w:rPr>
          <w:rStyle w:val="Hyperlink"/>
        </w:rPr>
        <w:t>https://vetnet.gov.au/Pages/TrainingDocs.aspx?q=229bace1-b7bc-4653-9300-dffb13ecfad7</w:t>
      </w:r>
      <w:r>
        <w:fldChar w:fldCharType="end"/>
      </w:r>
    </w:p>
    <w:p w:rsidR="00000000" w:rsidRPr="00D61A20" w:rsidP="00D61A20"/>
    <w:sectPr w:rsidSect="00D61A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rsidRPr="00416817" w:rsidP="00416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7" w:rsidP="00D61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817" w:rsidP="00D61A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6817" w:rsidP="00D61A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rsidP="00D61A20">
    <w:pPr>
      <w:pStyle w:val="Footer"/>
      <w:framePr w:wrap="around"/>
    </w:pPr>
    <w:r>
      <w:fldChar w:fldCharType="begin"/>
    </w:r>
    <w:r>
      <w:instrText xml:space="preserve"> DOCPROPERTY  Subject  \* MERGEFORMAT </w:instrText>
    </w:r>
    <w:r>
      <w:fldChar w:fldCharType="separate"/>
    </w:r>
    <w:r w:rsidR="00416817">
      <w:t>Approved</w:t>
    </w:r>
    <w:r w:rsidR="00416817">
      <w:fldChar w:fldCharType="end"/>
    </w:r>
    <w:r>
      <w:tab/>
      <w:t xml:space="preserve">Page </w:t>
    </w:r>
    <w:r>
      <w:fldChar w:fldCharType="begin"/>
    </w:r>
    <w:r>
      <w:instrText xml:space="preserve"> PAGE  \* Arabic  \* MERGEFORMAT </w:instrText>
    </w:r>
    <w:r>
      <w:fldChar w:fldCharType="separate"/>
    </w:r>
    <w:r w:rsidR="004168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817">
      <w:rPr>
        <w:noProof/>
      </w:rPr>
      <w:t>4</w:t>
    </w:r>
    <w:r>
      <w:rPr>
        <w:noProof/>
      </w:rPr>
      <w:fldChar w:fldCharType="end"/>
    </w:r>
  </w:p>
  <w:p w:rsidR="00D61A20" w:rsidP="00D61A20">
    <w:pPr>
      <w:pStyle w:val="Footer"/>
      <w:framePr w:wrap="around"/>
    </w:pPr>
    <w:r>
      <w:t xml:space="preserve">© Commonwealth of Australia, </w:t>
    </w:r>
    <w:r>
      <w:fldChar w:fldCharType="begin"/>
    </w:r>
    <w:r>
      <w:instrText xml:space="preserve"> DATE  \@ "yyyy"  \* MERGEFORMAT </w:instrText>
    </w:r>
    <w:r>
      <w:fldChar w:fldCharType="separate"/>
    </w:r>
    <w:r w:rsidR="00416817">
      <w:rPr>
        <w:noProof/>
      </w:rPr>
      <w:t>2025</w:t>
    </w:r>
    <w:r>
      <w:fldChar w:fldCharType="end"/>
    </w:r>
    <w:r>
      <w:tab/>
    </w:r>
    <w:r>
      <w:fldChar w:fldCharType="begin"/>
    </w:r>
    <w:r>
      <w:instrText xml:space="preserve"> DOCPROPERTY  Author  \* MERGEFORMAT </w:instrText>
    </w:r>
    <w:r>
      <w:fldChar w:fldCharType="separate"/>
    </w:r>
    <w:r w:rsidR="00416817">
      <w:t>Powering Skills Organisation</w:t>
    </w:r>
    <w:r w:rsidR="00416817">
      <w:fldChar w:fldCharType="end"/>
    </w:r>
  </w:p>
  <w:p w:rsidR="00D61A20" w:rsidP="00D61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A20" w:rsidRPr="00416817" w:rsidP="00416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7" w:rsidRPr="002D2AF8" w:rsidP="00D61A20">
    <w:pPr>
      <w:pStyle w:val="Header"/>
      <w:framePr w:wrap="around"/>
    </w:pPr>
    <w:r>
      <w:fldChar w:fldCharType="begin"/>
    </w:r>
    <w:r>
      <w:instrText xml:space="preserve"> TITLE   \* MERGEFORMAT </w:instrText>
    </w:r>
    <w:r>
      <w:fldChar w:fldCharType="separate"/>
    </w:r>
    <w:r>
      <w:t>UETDRDU022 Maintain gas and oil pressure systems for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6817" w:rsidP="00D61A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20" w:rsidRPr="002D2AF8" w:rsidP="00D61A20">
    <w:pPr>
      <w:pStyle w:val="Header"/>
      <w:framePr w:wrap="around"/>
    </w:pPr>
    <w:r>
      <w:fldChar w:fldCharType="begin"/>
    </w:r>
    <w:r>
      <w:instrText xml:space="preserve"> TITLE   \* MERGEFORMAT </w:instrText>
    </w:r>
    <w:r>
      <w:fldChar w:fldCharType="separate"/>
    </w:r>
    <w:r w:rsidR="00416817">
      <w:t>UETDRDU022 Maintain gas and oil pressure systems for underground cables</w:t>
    </w:r>
    <w:r w:rsidR="00416817">
      <w:fldChar w:fldCharType="end"/>
    </w:r>
    <w:r>
      <w:tab/>
      <w:t xml:space="preserve">Date this document was generated: </w:t>
    </w:r>
    <w:r>
      <w:fldChar w:fldCharType="begin"/>
    </w:r>
    <w:r>
      <w:instrText xml:space="preserve"> CREATEDATE  \@ "d MMMM yyyy"  \* MERGEFORMAT </w:instrText>
    </w:r>
    <w:r>
      <w:fldChar w:fldCharType="separate"/>
    </w:r>
    <w:r w:rsidR="00416817">
      <w:rPr>
        <w:noProof/>
      </w:rPr>
      <w:t>2 March 2025</w:t>
    </w:r>
    <w:r>
      <w:fldChar w:fldCharType="end"/>
    </w:r>
  </w:p>
  <w:p w:rsidR="00D61A20" w:rsidP="00D61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F68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64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87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A20"/>
    <w:pPr>
      <w:spacing w:before="360" w:after="60"/>
      <w:outlineLvl w:val="0"/>
    </w:pPr>
    <w:rPr>
      <w:sz w:val="32"/>
    </w:rPr>
  </w:style>
  <w:style w:type="paragraph" w:styleId="Heading2">
    <w:name w:val="heading 2"/>
    <w:basedOn w:val="HeadingBase"/>
    <w:next w:val="BodyText"/>
    <w:link w:val="Heading2Char"/>
    <w:qFormat/>
    <w:rsid w:val="00D61A20"/>
    <w:pPr>
      <w:keepLines/>
      <w:spacing w:before="240" w:after="120"/>
      <w:outlineLvl w:val="1"/>
    </w:pPr>
    <w:rPr>
      <w:sz w:val="28"/>
      <w:szCs w:val="40"/>
    </w:rPr>
  </w:style>
  <w:style w:type="paragraph" w:styleId="Heading3">
    <w:name w:val="heading 3"/>
    <w:basedOn w:val="HeadingBase"/>
    <w:next w:val="BodyText"/>
    <w:link w:val="Heading3Char"/>
    <w:qFormat/>
    <w:rsid w:val="00D61A20"/>
    <w:pPr>
      <w:spacing w:before="180" w:after="120"/>
      <w:outlineLvl w:val="2"/>
    </w:pPr>
    <w:rPr>
      <w:spacing w:val="-10"/>
      <w:kern w:val="32"/>
    </w:rPr>
  </w:style>
  <w:style w:type="paragraph" w:styleId="Heading4">
    <w:name w:val="heading 4"/>
    <w:basedOn w:val="HeadingBase"/>
    <w:next w:val="BodyText"/>
    <w:link w:val="Heading4Char"/>
    <w:qFormat/>
    <w:rsid w:val="00D61A20"/>
    <w:pPr>
      <w:spacing w:before="160" w:after="120"/>
      <w:outlineLvl w:val="3"/>
    </w:pPr>
    <w:rPr>
      <w:sz w:val="22"/>
    </w:rPr>
  </w:style>
  <w:style w:type="paragraph" w:styleId="Heading5">
    <w:name w:val="heading 5"/>
    <w:basedOn w:val="HeadingBase"/>
    <w:next w:val="Normal"/>
    <w:link w:val="Heading5Char"/>
    <w:qFormat/>
    <w:rsid w:val="00D61A20"/>
    <w:pPr>
      <w:spacing w:before="80"/>
      <w:outlineLvl w:val="4"/>
    </w:pPr>
    <w:rPr>
      <w:color w:val="918585"/>
      <w:sz w:val="20"/>
    </w:rPr>
  </w:style>
  <w:style w:type="paragraph" w:styleId="Heading6">
    <w:name w:val="heading 6"/>
    <w:basedOn w:val="HeadingBase"/>
    <w:next w:val="Normal"/>
    <w:link w:val="Heading6Char"/>
    <w:qFormat/>
    <w:rsid w:val="00D61A20"/>
    <w:pPr>
      <w:spacing w:before="60"/>
      <w:outlineLvl w:val="5"/>
    </w:pPr>
    <w:rPr>
      <w:color w:val="918585"/>
      <w:sz w:val="20"/>
    </w:rPr>
  </w:style>
  <w:style w:type="paragraph" w:styleId="Heading7">
    <w:name w:val="heading 7"/>
    <w:basedOn w:val="Normal"/>
    <w:next w:val="Normal"/>
    <w:link w:val="Heading7Char"/>
    <w:qFormat/>
    <w:rsid w:val="00D61A20"/>
    <w:pPr>
      <w:ind w:left="720"/>
      <w:outlineLvl w:val="6"/>
    </w:pPr>
    <w:rPr>
      <w:i/>
    </w:rPr>
  </w:style>
  <w:style w:type="paragraph" w:styleId="Heading8">
    <w:name w:val="heading 8"/>
    <w:basedOn w:val="Normal"/>
    <w:next w:val="Normal"/>
    <w:link w:val="Heading8Char"/>
    <w:qFormat/>
    <w:rsid w:val="00D61A20"/>
    <w:pPr>
      <w:ind w:left="720"/>
      <w:outlineLvl w:val="7"/>
    </w:pPr>
    <w:rPr>
      <w:i/>
    </w:rPr>
  </w:style>
  <w:style w:type="paragraph" w:styleId="Heading9">
    <w:name w:val="heading 9"/>
    <w:basedOn w:val="Normal"/>
    <w:next w:val="Normal"/>
    <w:link w:val="Heading9Char"/>
    <w:qFormat/>
    <w:rsid w:val="00D61A20"/>
    <w:pPr>
      <w:ind w:left="720"/>
      <w:outlineLvl w:val="8"/>
    </w:pPr>
    <w:rPr>
      <w:i/>
    </w:rPr>
  </w:style>
  <w:style w:type="character" w:default="1" w:styleId="DefaultParagraphFont">
    <w:name w:val="Default Paragraph Font"/>
    <w:uiPriority w:val="1"/>
    <w:unhideWhenUsed/>
    <w:rsid w:val="00D61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A20"/>
  </w:style>
  <w:style w:type="character" w:customStyle="1" w:styleId="Heading1Char">
    <w:name w:val="Heading 1 Char"/>
    <w:basedOn w:val="DefaultParagraphFont"/>
    <w:link w:val="Heading1"/>
    <w:rsid w:val="00D61A20"/>
    <w:rPr>
      <w:rFonts w:ascii="Times New Roman" w:eastAsia="Times New Roman" w:hAnsi="Times New Roman" w:cs="Times New Roman"/>
      <w:b/>
      <w:sz w:val="32"/>
      <w:szCs w:val="20"/>
      <w:lang w:eastAsia="en-US"/>
    </w:rPr>
  </w:style>
  <w:style w:type="paragraph" w:styleId="BodyText">
    <w:name w:val="Body Text"/>
    <w:basedOn w:val="Normal"/>
    <w:link w:val="BodyTextChar"/>
    <w:rsid w:val="00D61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A20"/>
    <w:rPr>
      <w:rFonts w:ascii="Times New Roman" w:eastAsia="Times New Roman" w:hAnsi="Times New Roman" w:cs="Times New Roman"/>
      <w:sz w:val="24"/>
      <w:lang w:eastAsia="en-US"/>
    </w:rPr>
  </w:style>
  <w:style w:type="paragraph" w:styleId="ListBullet">
    <w:name w:val="List Bullet"/>
    <w:basedOn w:val="List"/>
    <w:rsid w:val="00D61A20"/>
    <w:pPr>
      <w:numPr>
        <w:numId w:val="12"/>
      </w:numPr>
      <w:tabs>
        <w:tab w:val="clear" w:pos="340"/>
      </w:tabs>
      <w:spacing w:before="40" w:after="40"/>
    </w:pPr>
  </w:style>
  <w:style w:type="character" w:customStyle="1" w:styleId="SpecialBold">
    <w:name w:val="Special Bold"/>
    <w:basedOn w:val="DefaultParagraphFont"/>
    <w:rsid w:val="00D61A20"/>
    <w:rPr>
      <w:b/>
      <w:spacing w:val="0"/>
    </w:rPr>
  </w:style>
  <w:style w:type="paragraph" w:styleId="ListBullet2">
    <w:name w:val="List Bullet 2"/>
    <w:basedOn w:val="List2"/>
    <w:rsid w:val="00D61A20"/>
    <w:pPr>
      <w:numPr>
        <w:numId w:val="13"/>
      </w:numPr>
      <w:tabs>
        <w:tab w:val="clear" w:pos="680"/>
      </w:tabs>
    </w:pPr>
  </w:style>
  <w:style w:type="paragraph" w:customStyle="1" w:styleId="SuperHeading">
    <w:name w:val="SuperHeading"/>
    <w:basedOn w:val="Normal"/>
    <w:rsid w:val="00D61A20"/>
    <w:pPr>
      <w:spacing w:before="240" w:after="120"/>
      <w:outlineLvl w:val="0"/>
    </w:pPr>
    <w:rPr>
      <w:rFonts w:ascii="Times New Roman" w:hAnsi="Times New Roman"/>
      <w:b/>
      <w:sz w:val="32"/>
    </w:rPr>
  </w:style>
  <w:style w:type="paragraph" w:customStyle="1" w:styleId="AllowPageBreak">
    <w:name w:val="AllowPageBreak"/>
    <w:rsid w:val="00D61A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1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A20"/>
    <w:rPr>
      <w:rFonts w:ascii="Courier New" w:eastAsia="Times New Roman" w:hAnsi="Courier New" w:cs="Times New Roman"/>
      <w:i/>
      <w:szCs w:val="20"/>
      <w:lang w:eastAsia="en-US"/>
    </w:rPr>
  </w:style>
  <w:style w:type="paragraph" w:customStyle="1" w:styleId="HeadingBase">
    <w:name w:val="Heading Base"/>
    <w:rsid w:val="00D61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A20"/>
    <w:pPr>
      <w:tabs>
        <w:tab w:val="right" w:leader="dot" w:pos="9072"/>
      </w:tabs>
      <w:ind w:left="567"/>
    </w:pPr>
    <w:rPr>
      <w:szCs w:val="22"/>
    </w:rPr>
  </w:style>
  <w:style w:type="paragraph" w:customStyle="1" w:styleId="TOCBase">
    <w:name w:val="TOC Base"/>
    <w:rsid w:val="00D61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A20"/>
    <w:pPr>
      <w:tabs>
        <w:tab w:val="right" w:leader="dot" w:pos="9072"/>
      </w:tabs>
      <w:spacing w:before="40" w:after="40"/>
      <w:ind w:left="284"/>
    </w:pPr>
    <w:rPr>
      <w:rFonts w:ascii="Times New Roman" w:hAnsi="Times New Roman"/>
    </w:rPr>
  </w:style>
  <w:style w:type="paragraph" w:styleId="TOC1">
    <w:name w:val="toc 1"/>
    <w:basedOn w:val="TOCBase"/>
    <w:next w:val="Normal"/>
    <w:rsid w:val="00D61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A20"/>
    <w:rPr>
      <w:rFonts w:ascii="Times New Roman" w:eastAsia="Times New Roman" w:hAnsi="Times New Roman" w:cs="Times New Roman"/>
      <w:sz w:val="16"/>
      <w:lang w:eastAsia="en-US"/>
    </w:rPr>
  </w:style>
  <w:style w:type="paragraph" w:styleId="Title">
    <w:name w:val="Title"/>
    <w:basedOn w:val="HeadingBase"/>
    <w:link w:val="TitleChar"/>
    <w:qFormat/>
    <w:rsid w:val="00D61A20"/>
    <w:pPr>
      <w:spacing w:before="5040"/>
      <w:jc w:val="center"/>
    </w:pPr>
    <w:rPr>
      <w:sz w:val="48"/>
      <w:szCs w:val="72"/>
      <w:lang w:val="en-US"/>
    </w:rPr>
  </w:style>
  <w:style w:type="character" w:customStyle="1" w:styleId="TitleChar">
    <w:name w:val="Title Char"/>
    <w:basedOn w:val="DefaultParagraphFont"/>
    <w:link w:val="Title"/>
    <w:rsid w:val="00D61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A20"/>
    <w:pPr>
      <w:tabs>
        <w:tab w:val="left" w:pos="3600"/>
        <w:tab w:val="left" w:pos="3958"/>
      </w:tabs>
    </w:pPr>
  </w:style>
  <w:style w:type="paragraph" w:styleId="List">
    <w:name w:val="List"/>
    <w:basedOn w:val="BodyText"/>
    <w:next w:val="BodyText"/>
    <w:rsid w:val="00D61A20"/>
    <w:pPr>
      <w:tabs>
        <w:tab w:val="left" w:pos="340"/>
      </w:tabs>
      <w:spacing w:before="60" w:after="60"/>
      <w:ind w:left="340" w:hanging="340"/>
    </w:pPr>
  </w:style>
  <w:style w:type="paragraph" w:customStyle="1" w:styleId="Note">
    <w:name w:val="Note"/>
    <w:basedOn w:val="BodyText"/>
    <w:rsid w:val="00D61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A20"/>
    <w:pPr>
      <w:framePr w:wrap="auto" w:hAnchor="text" w:y="6049"/>
    </w:pPr>
    <w:rPr>
      <w:color w:val="000000"/>
      <w:sz w:val="40"/>
    </w:rPr>
  </w:style>
  <w:style w:type="paragraph" w:customStyle="1" w:styleId="TOCTitle">
    <w:name w:val="TOCTitle"/>
    <w:basedOn w:val="Heading1"/>
    <w:rsid w:val="00D61A20"/>
    <w:pPr>
      <w:spacing w:after="240"/>
      <w:jc w:val="center"/>
      <w:outlineLvl w:val="9"/>
    </w:pPr>
    <w:rPr>
      <w:caps/>
    </w:rPr>
  </w:style>
  <w:style w:type="paragraph" w:customStyle="1" w:styleId="Version">
    <w:name w:val="Version"/>
    <w:rsid w:val="00D61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A20"/>
    <w:pPr>
      <w:keepNext w:val="0"/>
      <w:tabs>
        <w:tab w:val="right" w:pos="4176"/>
      </w:tabs>
      <w:ind w:left="198" w:hanging="198"/>
    </w:pPr>
    <w:rPr>
      <w:rFonts w:ascii="Garamond" w:hAnsi="Garamond"/>
    </w:rPr>
  </w:style>
  <w:style w:type="paragraph" w:styleId="IndexHeading">
    <w:name w:val="index heading"/>
    <w:basedOn w:val="Normal"/>
    <w:next w:val="Index1"/>
    <w:semiHidden/>
    <w:rsid w:val="00D61A20"/>
    <w:pPr>
      <w:spacing w:before="120" w:after="120"/>
    </w:pPr>
    <w:rPr>
      <w:rFonts w:ascii="Arial" w:hAnsi="Arial"/>
      <w:b/>
      <w:color w:val="918585"/>
      <w:sz w:val="24"/>
    </w:rPr>
  </w:style>
  <w:style w:type="paragraph" w:styleId="Header">
    <w:name w:val="header"/>
    <w:basedOn w:val="Normal"/>
    <w:link w:val="HeaderChar"/>
    <w:rsid w:val="00D61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A20"/>
    <w:rPr>
      <w:rFonts w:ascii="Times New Roman" w:eastAsia="Times New Roman" w:hAnsi="Times New Roman" w:cs="Times New Roman"/>
      <w:sz w:val="16"/>
      <w:szCs w:val="20"/>
      <w:lang w:val="en-GB" w:eastAsia="en-US"/>
    </w:rPr>
  </w:style>
  <w:style w:type="paragraph" w:customStyle="1" w:styleId="Chapter">
    <w:name w:val="Chapter"/>
    <w:basedOn w:val="Normal"/>
    <w:rsid w:val="00D61A20"/>
    <w:pPr>
      <w:spacing w:before="240"/>
    </w:pPr>
    <w:rPr>
      <w:rFonts w:ascii="Times New Roman" w:hAnsi="Times New Roman"/>
      <w:smallCaps/>
      <w:spacing w:val="80"/>
      <w:sz w:val="28"/>
    </w:rPr>
  </w:style>
  <w:style w:type="paragraph" w:customStyle="1" w:styleId="InChapter">
    <w:name w:val="InChapter"/>
    <w:basedOn w:val="Heading3"/>
    <w:rsid w:val="00D61A20"/>
    <w:pPr>
      <w:spacing w:after="240"/>
      <w:outlineLvl w:val="9"/>
    </w:pPr>
    <w:rPr>
      <w:noProof/>
    </w:rPr>
  </w:style>
  <w:style w:type="paragraph" w:styleId="Index2">
    <w:name w:val="index 2"/>
    <w:basedOn w:val="Normal"/>
    <w:next w:val="Normal"/>
    <w:semiHidden/>
    <w:rsid w:val="00D61A20"/>
    <w:pPr>
      <w:tabs>
        <w:tab w:val="right" w:pos="4176"/>
      </w:tabs>
      <w:ind w:left="568" w:hanging="284"/>
    </w:pPr>
    <w:rPr>
      <w:rFonts w:ascii="Garamond" w:hAnsi="Garamond"/>
    </w:rPr>
  </w:style>
  <w:style w:type="paragraph" w:customStyle="1" w:styleId="Byline">
    <w:name w:val="Byline"/>
    <w:rsid w:val="00D61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A20"/>
    <w:pPr>
      <w:tabs>
        <w:tab w:val="clear" w:pos="3600"/>
        <w:tab w:val="clear" w:pos="3958"/>
      </w:tabs>
      <w:jc w:val="right"/>
    </w:pPr>
  </w:style>
  <w:style w:type="character" w:styleId="Emphasis">
    <w:name w:val="Emphasis"/>
    <w:basedOn w:val="DefaultParagraphFont"/>
    <w:qFormat/>
    <w:rsid w:val="00D61A20"/>
    <w:rPr>
      <w:i/>
    </w:rPr>
  </w:style>
  <w:style w:type="paragraph" w:styleId="Caption">
    <w:name w:val="caption"/>
    <w:basedOn w:val="BodyText"/>
    <w:next w:val="Normal"/>
    <w:qFormat/>
    <w:rsid w:val="00D61A20"/>
    <w:pPr>
      <w:framePr w:w="2268" w:hSpace="181" w:vSpace="181" w:wrap="around" w:vAnchor="text" w:hAnchor="page" w:x="1135" w:y="285" w:anchorLock="1"/>
    </w:pPr>
    <w:rPr>
      <w:i/>
    </w:rPr>
  </w:style>
  <w:style w:type="paragraph" w:customStyle="1" w:styleId="MiniTOCTitle">
    <w:name w:val="MiniTOCTitle"/>
    <w:basedOn w:val="Heading4"/>
    <w:rsid w:val="00D61A20"/>
    <w:pPr>
      <w:spacing w:before="240"/>
      <w:outlineLvl w:val="9"/>
    </w:pPr>
    <w:rPr>
      <w:noProof/>
      <w:sz w:val="24"/>
    </w:rPr>
  </w:style>
  <w:style w:type="paragraph" w:customStyle="1" w:styleId="MiniTOCItem">
    <w:name w:val="MiniTOCItem"/>
    <w:basedOn w:val="ListBullet"/>
    <w:rsid w:val="00D61A20"/>
    <w:pPr>
      <w:numPr>
        <w:numId w:val="0"/>
      </w:numPr>
      <w:tabs>
        <w:tab w:val="right" w:leader="dot" w:pos="6521"/>
      </w:tabs>
      <w:spacing w:before="0" w:after="0"/>
    </w:pPr>
  </w:style>
  <w:style w:type="paragraph" w:customStyle="1" w:styleId="TOFTitle">
    <w:name w:val="TOFTitle"/>
    <w:basedOn w:val="TOCTitle"/>
    <w:rsid w:val="00D61A20"/>
  </w:style>
  <w:style w:type="paragraph" w:styleId="TableofFigures">
    <w:name w:val="table of figures"/>
    <w:basedOn w:val="Normal"/>
    <w:next w:val="Normal"/>
    <w:semiHidden/>
    <w:rsid w:val="00D61A20"/>
    <w:pPr>
      <w:tabs>
        <w:tab w:val="right" w:leader="dot" w:pos="9072"/>
      </w:tabs>
      <w:ind w:left="970" w:hanging="403"/>
    </w:pPr>
    <w:rPr>
      <w:rFonts w:ascii="Times New Roman" w:hAnsi="Times New Roman"/>
      <w:b/>
    </w:rPr>
  </w:style>
  <w:style w:type="paragraph" w:styleId="ListNumber">
    <w:name w:val="List Number"/>
    <w:basedOn w:val="List"/>
    <w:rsid w:val="00D61A20"/>
    <w:pPr>
      <w:numPr>
        <w:numId w:val="15"/>
      </w:numPr>
      <w:tabs>
        <w:tab w:val="clear" w:pos="340"/>
      </w:tabs>
    </w:pPr>
  </w:style>
  <w:style w:type="character" w:customStyle="1" w:styleId="WingdingSymbols">
    <w:name w:val="Wingding Symbols"/>
    <w:rsid w:val="00D61A20"/>
    <w:rPr>
      <w:rFonts w:ascii="Wingdings" w:hAnsi="Wingdings"/>
    </w:rPr>
  </w:style>
  <w:style w:type="paragraph" w:customStyle="1" w:styleId="TableHeading">
    <w:name w:val="Table Heading"/>
    <w:basedOn w:val="HeadingBase"/>
    <w:rsid w:val="00D61A20"/>
    <w:pPr>
      <w:keepLines/>
      <w:pBdr>
        <w:bottom w:val="single" w:sz="6" w:space="1" w:color="918585"/>
      </w:pBdr>
      <w:spacing w:before="240"/>
    </w:pPr>
  </w:style>
  <w:style w:type="character" w:customStyle="1" w:styleId="HotSpot">
    <w:name w:val="HotSpot"/>
    <w:rsid w:val="00D61A20"/>
    <w:rPr>
      <w:color w:val="0033CC"/>
      <w:u w:val="none"/>
    </w:rPr>
  </w:style>
  <w:style w:type="paragraph" w:customStyle="1" w:styleId="BodyTextRight">
    <w:name w:val="Body Text Right"/>
    <w:basedOn w:val="BodyText"/>
    <w:rsid w:val="00D61A20"/>
    <w:pPr>
      <w:spacing w:before="0" w:after="0"/>
      <w:jc w:val="right"/>
    </w:pPr>
  </w:style>
  <w:style w:type="paragraph" w:styleId="Index3">
    <w:name w:val="index 3"/>
    <w:basedOn w:val="ListNumber2"/>
    <w:next w:val="Normal"/>
    <w:semiHidden/>
    <w:rsid w:val="00D61A20"/>
    <w:pPr>
      <w:numPr>
        <w:numId w:val="0"/>
      </w:numPr>
      <w:tabs>
        <w:tab w:val="right" w:leader="dot" w:pos="4176"/>
      </w:tabs>
    </w:pPr>
  </w:style>
  <w:style w:type="paragraph" w:styleId="ListNumber2">
    <w:name w:val="List Number 2"/>
    <w:basedOn w:val="List2"/>
    <w:rsid w:val="00D61A20"/>
    <w:pPr>
      <w:numPr>
        <w:numId w:val="10"/>
      </w:numPr>
      <w:tabs>
        <w:tab w:val="clear" w:pos="1060"/>
      </w:tabs>
    </w:pPr>
  </w:style>
  <w:style w:type="paragraph" w:customStyle="1" w:styleId="MarginNote">
    <w:name w:val="Margin Note"/>
    <w:basedOn w:val="BodyText"/>
    <w:rsid w:val="00D61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A20"/>
    <w:rPr>
      <w:sz w:val="32"/>
    </w:rPr>
  </w:style>
  <w:style w:type="paragraph" w:customStyle="1" w:styleId="HeadingProcedure">
    <w:name w:val="Heading Procedure"/>
    <w:basedOn w:val="HeadingBase"/>
    <w:next w:val="Normal"/>
    <w:rsid w:val="00D61A20"/>
    <w:pPr>
      <w:tabs>
        <w:tab w:val="left" w:pos="0"/>
      </w:tabs>
      <w:spacing w:before="120" w:after="60"/>
    </w:pPr>
    <w:rPr>
      <w:i/>
      <w:color w:val="918585"/>
      <w:sz w:val="22"/>
    </w:rPr>
  </w:style>
  <w:style w:type="paragraph" w:customStyle="1" w:styleId="TableBodyText">
    <w:name w:val="Table Body Text"/>
    <w:basedOn w:val="BodyText"/>
    <w:rsid w:val="00D61A20"/>
    <w:pPr>
      <w:spacing w:before="60" w:after="60"/>
    </w:pPr>
  </w:style>
  <w:style w:type="paragraph" w:styleId="ListContinue">
    <w:name w:val="List Continue"/>
    <w:basedOn w:val="List"/>
    <w:rsid w:val="00D61A20"/>
    <w:pPr>
      <w:ind w:firstLine="0"/>
    </w:pPr>
  </w:style>
  <w:style w:type="paragraph" w:customStyle="1" w:styleId="ListNote">
    <w:name w:val="List Note"/>
    <w:basedOn w:val="List"/>
    <w:rsid w:val="00D61A20"/>
    <w:pPr>
      <w:pBdr>
        <w:top w:val="single" w:sz="6" w:space="2" w:color="918585"/>
        <w:bottom w:val="single" w:sz="6" w:space="2" w:color="918585"/>
      </w:pBdr>
      <w:tabs>
        <w:tab w:val="left" w:pos="1021"/>
      </w:tabs>
      <w:ind w:firstLine="0"/>
    </w:pPr>
  </w:style>
  <w:style w:type="paragraph" w:customStyle="1" w:styleId="Warning">
    <w:name w:val="Warning"/>
    <w:basedOn w:val="BodyText"/>
    <w:rsid w:val="00D61A20"/>
    <w:pPr>
      <w:shd w:val="clear" w:color="auto" w:fill="D9D9D9"/>
      <w:tabs>
        <w:tab w:val="left" w:pos="992"/>
      </w:tabs>
      <w:ind w:left="119" w:right="119"/>
    </w:pPr>
    <w:rPr>
      <w:sz w:val="20"/>
    </w:rPr>
  </w:style>
  <w:style w:type="paragraph" w:customStyle="1" w:styleId="MarginIcons">
    <w:name w:val="Margin Icons"/>
    <w:basedOn w:val="BodyText"/>
    <w:rsid w:val="00D61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A20"/>
    <w:rPr>
      <w:rFonts w:ascii="Courier New" w:hAnsi="Courier New"/>
    </w:rPr>
  </w:style>
  <w:style w:type="paragraph" w:customStyle="1" w:styleId="NoteBullet">
    <w:name w:val="Note Bullet"/>
    <w:basedOn w:val="Note"/>
    <w:rsid w:val="00D61A20"/>
    <w:pPr>
      <w:tabs>
        <w:tab w:val="clear" w:pos="680"/>
      </w:tabs>
      <w:spacing w:before="60" w:after="60"/>
    </w:pPr>
  </w:style>
  <w:style w:type="paragraph" w:customStyle="1" w:styleId="SubHeading2">
    <w:name w:val="SubHeading2"/>
    <w:basedOn w:val="HeadingBase"/>
    <w:rsid w:val="00D61A20"/>
    <w:pPr>
      <w:spacing w:before="240" w:after="60"/>
    </w:pPr>
    <w:rPr>
      <w:sz w:val="20"/>
    </w:rPr>
  </w:style>
  <w:style w:type="paragraph" w:customStyle="1" w:styleId="SubHeading1">
    <w:name w:val="SubHeading1"/>
    <w:basedOn w:val="HeadingBase"/>
    <w:rsid w:val="00D61A20"/>
    <w:pPr>
      <w:spacing w:before="240" w:after="60"/>
    </w:pPr>
    <w:rPr>
      <w:color w:val="918585"/>
      <w:sz w:val="22"/>
    </w:rPr>
  </w:style>
  <w:style w:type="paragraph" w:customStyle="1" w:styleId="SideHeading">
    <w:name w:val="Side Heading"/>
    <w:basedOn w:val="HeadingBase"/>
    <w:rsid w:val="00D61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A20"/>
    <w:pPr>
      <w:tabs>
        <w:tab w:val="num" w:pos="360"/>
      </w:tabs>
    </w:pPr>
  </w:style>
  <w:style w:type="paragraph" w:styleId="PlainText">
    <w:name w:val="Plain Text"/>
    <w:basedOn w:val="Normal"/>
    <w:link w:val="PlainTextChar"/>
    <w:rsid w:val="00D61A20"/>
    <w:rPr>
      <w:sz w:val="20"/>
    </w:rPr>
  </w:style>
  <w:style w:type="character" w:customStyle="1" w:styleId="PlainTextChar">
    <w:name w:val="Plain Text Char"/>
    <w:basedOn w:val="DefaultParagraphFont"/>
    <w:link w:val="PlainText"/>
    <w:rsid w:val="00D61A20"/>
    <w:rPr>
      <w:rFonts w:ascii="Courier New" w:eastAsia="Times New Roman" w:hAnsi="Courier New" w:cs="Times New Roman"/>
      <w:sz w:val="20"/>
      <w:szCs w:val="20"/>
      <w:lang w:eastAsia="en-US"/>
    </w:rPr>
  </w:style>
  <w:style w:type="character" w:customStyle="1" w:styleId="MenuOption">
    <w:name w:val="Menu Option"/>
    <w:basedOn w:val="DefaultParagraphFont"/>
    <w:rsid w:val="00D61A20"/>
    <w:rPr>
      <w:b/>
      <w:smallCaps/>
    </w:rPr>
  </w:style>
  <w:style w:type="paragraph" w:customStyle="1" w:styleId="TableListNumber">
    <w:name w:val="Table List Number"/>
    <w:basedOn w:val="ListNumber"/>
    <w:rsid w:val="00D61A20"/>
    <w:pPr>
      <w:numPr>
        <w:numId w:val="0"/>
      </w:numPr>
    </w:pPr>
  </w:style>
  <w:style w:type="paragraph" w:styleId="TOC4">
    <w:name w:val="toc 4"/>
    <w:basedOn w:val="TOCBase"/>
    <w:next w:val="Normal"/>
    <w:semiHidden/>
    <w:rsid w:val="00D61A20"/>
    <w:pPr>
      <w:tabs>
        <w:tab w:val="right" w:leader="dot" w:pos="9071"/>
      </w:tabs>
      <w:ind w:left="1701"/>
    </w:pPr>
  </w:style>
  <w:style w:type="paragraph" w:customStyle="1" w:styleId="ListAlpha">
    <w:name w:val="List Alpha"/>
    <w:basedOn w:val="List"/>
    <w:rsid w:val="00D61A20"/>
    <w:pPr>
      <w:numPr>
        <w:numId w:val="9"/>
      </w:numPr>
    </w:pPr>
  </w:style>
  <w:style w:type="paragraph" w:customStyle="1" w:styleId="ListAlpha2">
    <w:name w:val="List Alpha 2"/>
    <w:basedOn w:val="List2"/>
    <w:rsid w:val="00D61A20"/>
    <w:pPr>
      <w:numPr>
        <w:numId w:val="8"/>
      </w:numPr>
    </w:pPr>
  </w:style>
  <w:style w:type="paragraph" w:styleId="List2">
    <w:name w:val="List 2"/>
    <w:basedOn w:val="BodyText"/>
    <w:rsid w:val="00D61A20"/>
    <w:pPr>
      <w:tabs>
        <w:tab w:val="left" w:pos="680"/>
      </w:tabs>
      <w:spacing w:before="60" w:after="60"/>
      <w:ind w:left="680" w:hanging="340"/>
    </w:pPr>
  </w:style>
  <w:style w:type="paragraph" w:styleId="List3">
    <w:name w:val="List 3"/>
    <w:basedOn w:val="BodyText"/>
    <w:rsid w:val="00D61A20"/>
    <w:pPr>
      <w:tabs>
        <w:tab w:val="left" w:pos="1021"/>
      </w:tabs>
      <w:spacing w:before="60" w:after="60"/>
      <w:ind w:left="1020" w:hanging="340"/>
    </w:pPr>
  </w:style>
  <w:style w:type="paragraph" w:styleId="List4">
    <w:name w:val="List 4"/>
    <w:basedOn w:val="BodyText"/>
    <w:rsid w:val="00D61A20"/>
    <w:pPr>
      <w:tabs>
        <w:tab w:val="left" w:pos="1361"/>
      </w:tabs>
      <w:spacing w:before="60" w:after="60"/>
      <w:ind w:left="1361" w:hanging="340"/>
    </w:pPr>
  </w:style>
  <w:style w:type="paragraph" w:styleId="List5">
    <w:name w:val="List 5"/>
    <w:basedOn w:val="BodyText"/>
    <w:rsid w:val="00D61A20"/>
    <w:pPr>
      <w:tabs>
        <w:tab w:val="left" w:pos="1701"/>
      </w:tabs>
      <w:spacing w:before="60" w:after="60"/>
      <w:ind w:left="1701" w:hanging="340"/>
    </w:pPr>
  </w:style>
  <w:style w:type="paragraph" w:styleId="ListBullet3">
    <w:name w:val="List Bullet 3"/>
    <w:basedOn w:val="List3"/>
    <w:rsid w:val="00D61A20"/>
    <w:pPr>
      <w:numPr>
        <w:numId w:val="14"/>
      </w:numPr>
      <w:tabs>
        <w:tab w:val="clear" w:pos="1021"/>
      </w:tabs>
      <w:ind w:left="1037" w:hanging="357"/>
    </w:pPr>
  </w:style>
  <w:style w:type="paragraph" w:styleId="ListBullet4">
    <w:name w:val="List Bullet 4"/>
    <w:basedOn w:val="List4"/>
    <w:rsid w:val="00D61A20"/>
    <w:pPr>
      <w:numPr>
        <w:numId w:val="3"/>
      </w:numPr>
      <w:tabs>
        <w:tab w:val="clear" w:pos="1361"/>
      </w:tabs>
    </w:pPr>
  </w:style>
  <w:style w:type="paragraph" w:styleId="ListBullet5">
    <w:name w:val="List Bullet 5"/>
    <w:basedOn w:val="List5"/>
    <w:rsid w:val="00D61A20"/>
    <w:pPr>
      <w:numPr>
        <w:numId w:val="4"/>
      </w:numPr>
    </w:pPr>
  </w:style>
  <w:style w:type="paragraph" w:styleId="ListContinue2">
    <w:name w:val="List Continue 2"/>
    <w:basedOn w:val="List2"/>
    <w:rsid w:val="00D61A20"/>
    <w:pPr>
      <w:ind w:firstLine="0"/>
    </w:pPr>
  </w:style>
  <w:style w:type="paragraph" w:styleId="ListContinue3">
    <w:name w:val="List Continue 3"/>
    <w:basedOn w:val="List3"/>
    <w:rsid w:val="00D61A20"/>
    <w:pPr>
      <w:ind w:left="1021" w:firstLine="0"/>
    </w:pPr>
  </w:style>
  <w:style w:type="paragraph" w:styleId="ListContinue4">
    <w:name w:val="List Continue 4"/>
    <w:basedOn w:val="List4"/>
    <w:rsid w:val="00D61A20"/>
    <w:pPr>
      <w:ind w:firstLine="0"/>
    </w:pPr>
  </w:style>
  <w:style w:type="paragraph" w:styleId="ListContinue5">
    <w:name w:val="List Continue 5"/>
    <w:basedOn w:val="List5"/>
    <w:rsid w:val="00D61A20"/>
    <w:pPr>
      <w:ind w:firstLine="0"/>
    </w:pPr>
  </w:style>
  <w:style w:type="paragraph" w:styleId="ListNumber3">
    <w:name w:val="List Number 3"/>
    <w:basedOn w:val="List3"/>
    <w:rsid w:val="00D61A20"/>
    <w:pPr>
      <w:numPr>
        <w:numId w:val="5"/>
      </w:numPr>
    </w:pPr>
  </w:style>
  <w:style w:type="paragraph" w:styleId="ListNumber4">
    <w:name w:val="List Number 4"/>
    <w:basedOn w:val="List4"/>
    <w:rsid w:val="00D61A20"/>
    <w:pPr>
      <w:numPr>
        <w:numId w:val="6"/>
      </w:numPr>
    </w:pPr>
  </w:style>
  <w:style w:type="paragraph" w:styleId="ListNumber5">
    <w:name w:val="List Number 5"/>
    <w:basedOn w:val="List5"/>
    <w:rsid w:val="00D61A20"/>
    <w:pPr>
      <w:numPr>
        <w:numId w:val="7"/>
      </w:numPr>
    </w:pPr>
  </w:style>
  <w:style w:type="paragraph" w:styleId="BlockText">
    <w:name w:val="Block Text"/>
    <w:basedOn w:val="Normal"/>
    <w:rsid w:val="00D61A20"/>
    <w:pPr>
      <w:spacing w:after="120"/>
      <w:ind w:left="1440" w:right="1440"/>
    </w:pPr>
  </w:style>
  <w:style w:type="character" w:customStyle="1" w:styleId="Subscript">
    <w:name w:val="Subscript"/>
    <w:basedOn w:val="DefaultParagraphFont"/>
    <w:rsid w:val="00D61A20"/>
    <w:rPr>
      <w:sz w:val="16"/>
      <w:vertAlign w:val="subscript"/>
    </w:rPr>
  </w:style>
  <w:style w:type="character" w:customStyle="1" w:styleId="Superscript">
    <w:name w:val="Superscript"/>
    <w:basedOn w:val="DefaultParagraphFont"/>
    <w:rsid w:val="00D61A20"/>
    <w:rPr>
      <w:sz w:val="16"/>
      <w:vertAlign w:val="superscript"/>
    </w:rPr>
  </w:style>
  <w:style w:type="character" w:customStyle="1" w:styleId="Symbols">
    <w:name w:val="Symbols"/>
    <w:basedOn w:val="DefaultParagraphFont"/>
    <w:rsid w:val="00D61A20"/>
    <w:rPr>
      <w:rFonts w:ascii="Symbol" w:hAnsi="Symbol"/>
    </w:rPr>
  </w:style>
  <w:style w:type="character" w:customStyle="1" w:styleId="MenuOptions">
    <w:name w:val="Menu Options"/>
    <w:basedOn w:val="DefaultParagraphFont"/>
    <w:rsid w:val="00D61A20"/>
    <w:rPr>
      <w:rFonts w:ascii="Arial Narrow" w:hAnsi="Arial Narrow"/>
      <w:smallCaps/>
    </w:rPr>
  </w:style>
  <w:style w:type="character" w:customStyle="1" w:styleId="Buttons">
    <w:name w:val="Buttons"/>
    <w:basedOn w:val="DefaultParagraphFont"/>
    <w:rsid w:val="00D61A20"/>
    <w:rPr>
      <w:b/>
    </w:rPr>
  </w:style>
  <w:style w:type="character" w:customStyle="1" w:styleId="Underlined">
    <w:name w:val="Underlined"/>
    <w:basedOn w:val="DefaultParagraphFont"/>
    <w:rsid w:val="00D61A20"/>
    <w:rPr>
      <w:u w:val="single"/>
    </w:rPr>
  </w:style>
  <w:style w:type="paragraph" w:customStyle="1" w:styleId="TableBodyTextRight">
    <w:name w:val="Table Body Text Right"/>
    <w:basedOn w:val="TableBodyText"/>
    <w:rsid w:val="00D61A20"/>
    <w:pPr>
      <w:widowControl w:val="0"/>
      <w:autoSpaceDE w:val="0"/>
      <w:autoSpaceDN w:val="0"/>
      <w:adjustRightInd w:val="0"/>
      <w:jc w:val="right"/>
    </w:pPr>
    <w:rPr>
      <w:rFonts w:cs="Arial"/>
      <w:szCs w:val="18"/>
    </w:rPr>
  </w:style>
  <w:style w:type="paragraph" w:customStyle="1" w:styleId="CopyrightText">
    <w:name w:val="Copyright Text"/>
    <w:basedOn w:val="BodyText"/>
    <w:rsid w:val="00D61A20"/>
    <w:rPr>
      <w:sz w:val="18"/>
    </w:rPr>
  </w:style>
  <w:style w:type="paragraph" w:customStyle="1" w:styleId="BodySmallRight">
    <w:name w:val="Body Small Right"/>
    <w:basedOn w:val="BodyTextRight"/>
    <w:rsid w:val="00D61A20"/>
    <w:rPr>
      <w:sz w:val="18"/>
      <w:szCs w:val="18"/>
    </w:rPr>
  </w:style>
  <w:style w:type="paragraph" w:customStyle="1" w:styleId="MarginEdition">
    <w:name w:val="Margin Edition"/>
    <w:basedOn w:val="MarginNote"/>
    <w:rsid w:val="00D61A20"/>
    <w:pPr>
      <w:spacing w:before="0" w:after="0"/>
    </w:pPr>
    <w:rPr>
      <w:rFonts w:ascii="Times New Roman" w:hAnsi="Times New Roman"/>
      <w:color w:val="999999"/>
    </w:rPr>
  </w:style>
  <w:style w:type="paragraph" w:customStyle="1" w:styleId="Spacer">
    <w:name w:val="Spacer"/>
    <w:basedOn w:val="Normal"/>
    <w:rsid w:val="00D61A20"/>
    <w:rPr>
      <w:sz w:val="2"/>
      <w:szCs w:val="2"/>
    </w:rPr>
  </w:style>
  <w:style w:type="character" w:customStyle="1" w:styleId="Small">
    <w:name w:val="Small"/>
    <w:basedOn w:val="DefaultParagraphFont"/>
    <w:rsid w:val="00D61A20"/>
    <w:rPr>
      <w:sz w:val="16"/>
    </w:rPr>
  </w:style>
  <w:style w:type="paragraph" w:customStyle="1" w:styleId="WideTable">
    <w:name w:val="Wide Table"/>
    <w:basedOn w:val="Normal"/>
    <w:rsid w:val="00D61A20"/>
    <w:pPr>
      <w:ind w:left="-1418"/>
    </w:pPr>
    <w:rPr>
      <w:sz w:val="2"/>
      <w:szCs w:val="2"/>
    </w:rPr>
  </w:style>
  <w:style w:type="character" w:styleId="PageNumber">
    <w:name w:val="page number"/>
    <w:basedOn w:val="DefaultParagraphFont"/>
    <w:rsid w:val="00D61A20"/>
  </w:style>
  <w:style w:type="paragraph" w:styleId="Quote">
    <w:name w:val="Quote"/>
    <w:basedOn w:val="Heading1"/>
    <w:link w:val="QuoteChar"/>
    <w:qFormat/>
    <w:rsid w:val="00D61A20"/>
    <w:rPr>
      <w:b w:val="0"/>
      <w:sz w:val="72"/>
      <w:szCs w:val="72"/>
      <w:lang w:val="en-NZ"/>
    </w:rPr>
  </w:style>
  <w:style w:type="character" w:customStyle="1" w:styleId="QuoteChar">
    <w:name w:val="Quote Char"/>
    <w:basedOn w:val="DefaultParagraphFont"/>
    <w:link w:val="Quote"/>
    <w:rsid w:val="00D61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A20"/>
    <w:pPr>
      <w:pageBreakBefore/>
    </w:pPr>
  </w:style>
  <w:style w:type="paragraph" w:customStyle="1" w:styleId="Border">
    <w:name w:val="Border"/>
    <w:basedOn w:val="Normal"/>
    <w:qFormat/>
    <w:rsid w:val="00D61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A20"/>
    <w:rPr>
      <w:b/>
      <w:bCs/>
      <w:i/>
      <w:iCs/>
      <w:color w:val="auto"/>
    </w:rPr>
  </w:style>
  <w:style w:type="paragraph" w:styleId="IntenseQuote">
    <w:name w:val="Intense Quote"/>
    <w:basedOn w:val="Normal"/>
    <w:next w:val="Normal"/>
    <w:link w:val="IntenseQuoteChar"/>
    <w:uiPriority w:val="30"/>
    <w:qFormat/>
    <w:rsid w:val="00D61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A20"/>
    <w:rPr>
      <w:smallCaps/>
      <w:color w:val="auto"/>
      <w:u w:val="single"/>
    </w:rPr>
  </w:style>
  <w:style w:type="character" w:styleId="IntenseReference">
    <w:name w:val="Intense Reference"/>
    <w:basedOn w:val="DefaultParagraphFont"/>
    <w:uiPriority w:val="32"/>
    <w:qFormat/>
    <w:rsid w:val="00D61A20"/>
    <w:rPr>
      <w:b/>
      <w:bCs/>
      <w:smallCaps/>
      <w:color w:val="auto"/>
      <w:spacing w:val="5"/>
      <w:u w:val="single"/>
    </w:rPr>
  </w:style>
  <w:style w:type="paragraph" w:customStyle="1" w:styleId="2ColumnHeading">
    <w:name w:val="2Column Heading"/>
    <w:basedOn w:val="BodyText"/>
    <w:qFormat/>
    <w:rsid w:val="00D61A20"/>
    <w:pPr>
      <w:spacing w:after="60"/>
      <w:ind w:left="-2268"/>
    </w:pPr>
    <w:rPr>
      <w:b/>
    </w:rPr>
  </w:style>
  <w:style w:type="paragraph" w:customStyle="1" w:styleId="Heading1TOC">
    <w:name w:val="Heading1 TOC"/>
    <w:basedOn w:val="Normal"/>
    <w:qFormat/>
    <w:rsid w:val="00D61A20"/>
    <w:pPr>
      <w:spacing w:before="240" w:after="120"/>
    </w:pPr>
    <w:rPr>
      <w:rFonts w:ascii="Times New Roman" w:hAnsi="Times New Roman"/>
      <w:b/>
      <w:sz w:val="32"/>
    </w:rPr>
  </w:style>
  <w:style w:type="paragraph" w:customStyle="1" w:styleId="Heading2TOC">
    <w:name w:val="Heading2 TOC"/>
    <w:basedOn w:val="Normal"/>
    <w:qFormat/>
    <w:rsid w:val="00D61A20"/>
    <w:pPr>
      <w:spacing w:before="240" w:after="60"/>
    </w:pPr>
    <w:rPr>
      <w:rFonts w:ascii="Times New Roman" w:hAnsi="Times New Roman"/>
      <w:b/>
      <w:sz w:val="28"/>
    </w:rPr>
  </w:style>
  <w:style w:type="character" w:customStyle="1" w:styleId="Underline">
    <w:name w:val="Underline"/>
    <w:basedOn w:val="DefaultParagraphFont"/>
    <w:qFormat/>
    <w:rsid w:val="00D61A20"/>
    <w:rPr>
      <w:u w:val="single"/>
    </w:rPr>
  </w:style>
  <w:style w:type="character" w:customStyle="1" w:styleId="BoldandItalics">
    <w:name w:val="Bold and Italics"/>
    <w:qFormat/>
    <w:rsid w:val="00D61A20"/>
    <w:rPr>
      <w:b/>
      <w:i/>
      <w:u w:val="none"/>
    </w:rPr>
  </w:style>
  <w:style w:type="paragraph" w:styleId="BalloonText">
    <w:name w:val="Balloon Text"/>
    <w:basedOn w:val="Normal"/>
    <w:link w:val="BalloonTextChar"/>
    <w:rsid w:val="00D61A20"/>
    <w:rPr>
      <w:rFonts w:ascii="Tahoma" w:hAnsi="Tahoma" w:cs="Tahoma"/>
      <w:sz w:val="16"/>
      <w:szCs w:val="16"/>
    </w:rPr>
  </w:style>
  <w:style w:type="character" w:customStyle="1" w:styleId="BalloonTextChar">
    <w:name w:val="Balloon Text Char"/>
    <w:basedOn w:val="DefaultParagraphFont"/>
    <w:link w:val="BalloonText"/>
    <w:rsid w:val="00D61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A20"/>
    <w:rPr>
      <w:b/>
      <w:color w:val="660033"/>
      <w:spacing w:val="0"/>
    </w:rPr>
  </w:style>
  <w:style w:type="paragraph" w:customStyle="1" w:styleId="Nameditemlist">
    <w:name w:val="Named item list"/>
    <w:basedOn w:val="BodyText"/>
    <w:qFormat/>
    <w:rsid w:val="00D61A20"/>
    <w:pPr>
      <w:tabs>
        <w:tab w:val="left" w:pos="2835"/>
      </w:tabs>
      <w:ind w:left="2835" w:hanging="2835"/>
    </w:pPr>
  </w:style>
  <w:style w:type="paragraph" w:customStyle="1" w:styleId="BodyTextnopadding">
    <w:name w:val="Body Text no padding"/>
    <w:basedOn w:val="BodyText"/>
    <w:qFormat/>
    <w:rsid w:val="00D61A20"/>
    <w:pPr>
      <w:spacing w:before="0" w:after="0"/>
    </w:pPr>
  </w:style>
  <w:style w:type="paragraph" w:customStyle="1" w:styleId="BodyTextBold">
    <w:name w:val="Body Text Bold"/>
    <w:basedOn w:val="BodyText"/>
    <w:qFormat/>
    <w:rsid w:val="00D61A20"/>
    <w:rPr>
      <w:b/>
    </w:rPr>
  </w:style>
  <w:style w:type="character" w:styleId="Hyperlink">
    <w:name w:val="Hyperlink"/>
    <w:basedOn w:val="DefaultParagraphFont"/>
    <w:uiPriority w:val="99"/>
    <w:unhideWhenUsed/>
    <w:rsid w:val="00416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7826</Characters>
  <Application>Microsoft Office Word</Application>
  <DocSecurity>0</DocSecurity>
  <Lines>279</Lines>
  <Paragraphs>164</Paragraphs>
  <ScaleCrop>false</ScaleCrop>
  <Company>Author-it Software Corporation Ltd.</Company>
  <LinksUpToDate>false</LinksUpToDate>
  <CharactersWithSpaces>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UETDRDU022 Maintain gas and oil pressure systems for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