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0F0" w:rsidP="00406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UETDRDU017 Locate faults in underground power cables</w:t>
      </w:r>
      <w:r>
        <w:fldChar w:fldCharType="end"/>
      </w:r>
    </w:p>
    <w:p w:rsidR="004060F0" w:rsidP="004060F0">
      <w:pPr>
        <w:pStyle w:val="Version"/>
        <w:sectPr w:rsidSect="00DD6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F78" w:rsidP="00DD6F78">
      <w:pPr>
        <w:pStyle w:val="SuperHeading"/>
      </w:pPr>
      <w:r w:rsidRPr="00DD6F78">
        <w:t>Assessment Requirements for UETDRDU017 Locate faults in underground power cables</w:t>
      </w:r>
    </w:p>
    <w:p w:rsidR="00000000" w:rsidRPr="00DD6F78" w:rsidP="00DD6F78">
      <w:pPr>
        <w:pStyle w:val="Heading1"/>
      </w:pPr>
      <w:bookmarkStart w:id="1" w:name="O_1178805"/>
      <w:bookmarkEnd w:id="1"/>
      <w:r w:rsidRPr="00DD6F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78" w:rsidP="00DD6F78">
            <w:pPr>
              <w:pStyle w:val="BodyText"/>
            </w:pPr>
            <w:r w:rsidRPr="00DD6F7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D6F78" w:rsidP="00DD6F78">
      <w:pPr>
        <w:pStyle w:val="NoPaddingFontSize1"/>
      </w:pPr>
    </w:p>
    <w:p w:rsidR="00000000" w:rsidRPr="00DD6F78" w:rsidP="00DD6F78">
      <w:pPr>
        <w:pStyle w:val="AllowPageBreak"/>
      </w:pPr>
    </w:p>
    <w:p w:rsidR="00000000" w:rsidRPr="00DD6F78" w:rsidP="00DD6F78">
      <w:pPr>
        <w:pStyle w:val="Heading1"/>
      </w:pPr>
      <w:bookmarkStart w:id="2" w:name="O_1178806"/>
      <w:bookmarkEnd w:id="2"/>
      <w:r w:rsidRPr="00DD6F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78">
            <w:pPr>
              <w:pStyle w:val="BodyText"/>
              <w:rPr>
                <w:lang w:val="en-NZ"/>
              </w:rPr>
            </w:pPr>
            <w:r w:rsidRPr="00DD6F78">
              <w:t>Evidence required to demonstrate competence in this unit must be r</w:t>
            </w:r>
            <w:r w:rsidRPr="00DD6F78">
              <w:t xml:space="preserve">elevant to and satisfy all of the requirements of the elements and performance criteria on at least two separate occasions and include:  </w:t>
            </w:r>
          </w:p>
        </w:tc>
      </w:tr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78" w:rsidP="00DD6F78">
            <w:pPr>
              <w:pStyle w:val="ListBullet"/>
            </w:pPr>
            <w:r w:rsidRPr="00DD6F78">
              <w:t xml:space="preserve">applying relevant legislation, regulations, standards, codes of practice and organisational workplace requirements, </w:t>
            </w:r>
            <w:r w:rsidRPr="00DD6F78">
              <w:t>including: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work health and safety (WHS)/occupational health and safety (OHS) 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safe approach distances </w:t>
            </w:r>
          </w:p>
          <w:p w:rsidR="00000000" w:rsidRPr="00DD6F78" w:rsidP="00DD6F78">
            <w:pPr>
              <w:pStyle w:val="ListBullet"/>
            </w:pPr>
            <w:r w:rsidRPr="00DD6F78">
              <w:t>identifying hazards, assessing risks, identifying, applying and monitoring control measures</w:t>
            </w:r>
          </w:p>
          <w:p w:rsidR="00000000" w:rsidRPr="00DD6F78" w:rsidP="00DD6F78">
            <w:pPr>
              <w:pStyle w:val="ListBullet"/>
            </w:pPr>
            <w:r w:rsidRPr="00DD6F78">
              <w:t>obtaining, inspecting and using relevant personal protective equipment (PPE)</w:t>
            </w:r>
          </w:p>
          <w:p w:rsidR="00000000" w:rsidRPr="00DD6F78" w:rsidP="00DD6F78">
            <w:pPr>
              <w:pStyle w:val="ListBullet"/>
            </w:pPr>
            <w:r w:rsidRPr="00DD6F78">
              <w:t>obtaining and signing on and off relevant work permits in accordance with workplace requirements</w:t>
            </w:r>
          </w:p>
          <w:p w:rsidR="00000000" w:rsidRPr="00DD6F78" w:rsidP="00DD6F78">
            <w:pPr>
              <w:pStyle w:val="ListBullet"/>
            </w:pPr>
            <w:r w:rsidRPr="00DD6F78">
              <w:t>interpreting and using drawings, diagrams and instructions</w:t>
            </w:r>
          </w:p>
          <w:p w:rsidR="00000000" w:rsidRPr="00DD6F78" w:rsidP="00DD6F78">
            <w:pPr>
              <w:pStyle w:val="ListBullet"/>
            </w:pPr>
            <w:r w:rsidRPr="00DD6F78">
              <w:t xml:space="preserve">using at least one (1) </w:t>
            </w:r>
            <w:r w:rsidRPr="00DD6F78">
              <w:t xml:space="preserve">of the following cable fault pre location methods for low resistance faults: </w:t>
            </w:r>
          </w:p>
          <w:p w:rsidR="00000000" w:rsidRPr="00DD6F78" w:rsidP="00DD6F78">
            <w:pPr>
              <w:pStyle w:val="ListBullet2"/>
            </w:pPr>
            <w:r w:rsidRPr="00DD6F78">
              <w:t>time-domain reflectometry (TDR)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bridge method (e.g. Murray Loop) </w:t>
            </w:r>
          </w:p>
          <w:p w:rsidR="00000000" w:rsidRPr="00DD6F78" w:rsidP="00DD6F78">
            <w:pPr>
              <w:pStyle w:val="ListBullet"/>
            </w:pPr>
            <w:r w:rsidRPr="00DD6F78">
              <w:t>using at least one (1) of the following cable fault prelocation methods for high resistance faults:</w:t>
            </w:r>
          </w:p>
          <w:p w:rsidR="00000000" w:rsidRPr="00DD6F78" w:rsidP="00DD6F78">
            <w:pPr>
              <w:pStyle w:val="ListBullet2"/>
            </w:pPr>
            <w:r w:rsidRPr="00DD6F78">
              <w:t>arc refle</w:t>
            </w:r>
            <w:r w:rsidRPr="00DD6F78">
              <w:t>ction</w:t>
            </w:r>
          </w:p>
          <w:p w:rsidR="00000000" w:rsidRPr="00DD6F78" w:rsidP="00DD6F78">
            <w:pPr>
              <w:pStyle w:val="ListBullet2"/>
            </w:pPr>
            <w:r w:rsidRPr="00DD6F78">
              <w:t>voltage decay</w:t>
            </w:r>
          </w:p>
          <w:p w:rsidR="00000000" w:rsidRPr="00DD6F78" w:rsidP="00DD6F78">
            <w:pPr>
              <w:pStyle w:val="ListBullet2"/>
            </w:pPr>
            <w:r w:rsidRPr="00DD6F78">
              <w:t>impulse current</w:t>
            </w:r>
          </w:p>
          <w:p w:rsidR="00000000" w:rsidRPr="00DD6F78" w:rsidP="00DD6F78">
            <w:pPr>
              <w:pStyle w:val="ListBullet2"/>
            </w:pPr>
            <w:r w:rsidRPr="00DD6F78">
              <w:t>bridge (Murray loop)</w:t>
            </w:r>
          </w:p>
          <w:p w:rsidR="00000000" w:rsidRPr="00DD6F78" w:rsidP="00DD6F78">
            <w:pPr>
              <w:pStyle w:val="ListBullet"/>
            </w:pPr>
            <w:r w:rsidRPr="00DD6F78">
              <w:t>using at least one (1) of the following cable fault pinpointing methods:</w:t>
            </w:r>
          </w:p>
          <w:p w:rsidR="00000000" w:rsidRPr="00DD6F78" w:rsidP="00DD6F78">
            <w:pPr>
              <w:pStyle w:val="ListBullet2"/>
            </w:pPr>
            <w:r w:rsidRPr="00DD6F78">
              <w:t>acoustic detection using surge generator (thumper)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audio frequency pinpointing using twist method  </w:t>
            </w:r>
          </w:p>
          <w:p w:rsidR="00000000" w:rsidRPr="00DD6F78" w:rsidP="00DD6F78">
            <w:pPr>
              <w:pStyle w:val="ListBullet2"/>
            </w:pPr>
            <w:r w:rsidRPr="00DD6F78">
              <w:t>fault sniffing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step voltage (pool of potential test or earth gradient method) </w:t>
            </w:r>
          </w:p>
          <w:p w:rsidR="00000000" w:rsidRPr="00DD6F78" w:rsidP="00DD6F78">
            <w:pPr>
              <w:pStyle w:val="ListBullet"/>
            </w:pPr>
            <w:r w:rsidRPr="00DD6F78">
              <w:t>locating at least three (3) of the following cable faults: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short circuit 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open circuits 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high resistance 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earth and sheath 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humid and wet </w:t>
            </w:r>
          </w:p>
          <w:p w:rsidR="00000000" w:rsidRPr="00DD6F78" w:rsidP="00DD6F78">
            <w:pPr>
              <w:pStyle w:val="ListBullet2"/>
            </w:pPr>
            <w:r w:rsidRPr="00DD6F78">
              <w:t>flashing</w:t>
            </w:r>
          </w:p>
          <w:p w:rsidR="00000000" w:rsidRPr="00DD6F78" w:rsidP="00DD6F78">
            <w:pPr>
              <w:pStyle w:val="ListBullet"/>
            </w:pPr>
            <w:r w:rsidRPr="00DD6F78">
              <w:t>analysing the testing results to determin</w:t>
            </w:r>
            <w:r w:rsidRPr="00DD6F78">
              <w:t>e the type and location of fault</w:t>
            </w:r>
          </w:p>
          <w:p w:rsidR="00000000" w:rsidRPr="00DD6F78" w:rsidP="00DD6F78">
            <w:pPr>
              <w:pStyle w:val="ListBullet"/>
            </w:pPr>
            <w:r w:rsidRPr="00DD6F78">
              <w:t>dealing with an unplanned event on at least one (1) occasion</w:t>
            </w:r>
          </w:p>
          <w:p w:rsidR="00000000" w:rsidRPr="00DD6F78" w:rsidP="00DD6F78">
            <w:pPr>
              <w:pStyle w:val="ListBullet"/>
            </w:pPr>
            <w:r w:rsidRPr="00DD6F78">
              <w:t>completing relevant work records, reports and documentation.</w:t>
            </w:r>
          </w:p>
        </w:tc>
      </w:tr>
    </w:tbl>
    <w:p w:rsidR="00000000" w:rsidRPr="00DD6F78" w:rsidP="00DD6F78">
      <w:pPr>
        <w:pStyle w:val="NoPaddingFontSize1"/>
      </w:pPr>
    </w:p>
    <w:p w:rsidR="00000000" w:rsidRPr="00DD6F78" w:rsidP="00DD6F78">
      <w:pPr>
        <w:pStyle w:val="AllowPageBreak"/>
      </w:pPr>
    </w:p>
    <w:p w:rsidR="00000000" w:rsidRPr="00DD6F78" w:rsidP="00DD6F78">
      <w:pPr>
        <w:pStyle w:val="Heading1"/>
      </w:pPr>
      <w:bookmarkStart w:id="3" w:name="O_1178807"/>
      <w:bookmarkEnd w:id="3"/>
      <w:r w:rsidRPr="00DD6F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78">
            <w:pPr>
              <w:pStyle w:val="BodyText"/>
              <w:rPr>
                <w:lang w:val="en-NZ"/>
              </w:rPr>
            </w:pPr>
            <w:r w:rsidRPr="00DD6F7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78" w:rsidP="00DD6F78">
            <w:pPr>
              <w:pStyle w:val="ListBullet"/>
            </w:pPr>
            <w:r w:rsidRPr="00DD6F78">
              <w:t xml:space="preserve">legislation, regulations, standards, codes of practice and organisational </w:t>
            </w:r>
            <w:r w:rsidRPr="00DD6F78">
              <w:t>workplace requirements, including:</w:t>
            </w:r>
          </w:p>
          <w:p w:rsidR="00000000" w:rsidRPr="00DD6F78" w:rsidP="00DD6F78">
            <w:pPr>
              <w:pStyle w:val="ListBullet2"/>
            </w:pPr>
            <w:r w:rsidRPr="00DD6F78">
              <w:t>WHS/OHS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safe approach distances </w:t>
            </w:r>
          </w:p>
          <w:p w:rsidR="00000000" w:rsidRPr="00DD6F78" w:rsidP="00DD6F78">
            <w:pPr>
              <w:pStyle w:val="ListBullet2"/>
            </w:pPr>
            <w:r w:rsidRPr="00DD6F78">
              <w:t>working in confined spaces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trench safety </w:t>
            </w:r>
          </w:p>
          <w:p w:rsidR="00000000" w:rsidRPr="00DD6F78" w:rsidP="00DD6F78">
            <w:pPr>
              <w:pStyle w:val="ListBullet2"/>
            </w:pPr>
            <w:r w:rsidRPr="00DD6F78">
              <w:t>manual handling</w:t>
            </w:r>
          </w:p>
          <w:p w:rsidR="00000000" w:rsidRPr="00DD6F78" w:rsidP="00DD6F78">
            <w:pPr>
              <w:pStyle w:val="ListBullet"/>
            </w:pPr>
            <w:r w:rsidRPr="00DD6F78">
              <w:t>hazard, risk assessment and risk control requirements, including potential hazards</w:t>
            </w:r>
          </w:p>
          <w:p w:rsidR="00000000" w:rsidRPr="00DD6F78" w:rsidP="00DD6F78">
            <w:pPr>
              <w:pStyle w:val="ListBullet"/>
            </w:pPr>
            <w:r w:rsidRPr="00DD6F78">
              <w:t>types and application of PPE</w:t>
            </w:r>
          </w:p>
          <w:p w:rsidR="00000000" w:rsidRPr="00DD6F78" w:rsidP="00DD6F78">
            <w:pPr>
              <w:pStyle w:val="ListBullet"/>
            </w:pPr>
            <w:r w:rsidRPr="00DD6F78">
              <w:t xml:space="preserve">safe use of tools and equipment </w:t>
            </w:r>
          </w:p>
          <w:p w:rsidR="00000000" w:rsidRPr="00DD6F78" w:rsidP="00DD6F78">
            <w:pPr>
              <w:pStyle w:val="ListBullet"/>
            </w:pPr>
            <w:r w:rsidRPr="00DD6F78">
              <w:t xml:space="preserve">application, purpose and types of work permits </w:t>
            </w:r>
          </w:p>
          <w:p w:rsidR="00000000" w:rsidRPr="00DD6F78" w:rsidP="00DD6F78">
            <w:pPr>
              <w:pStyle w:val="ListBullet"/>
            </w:pPr>
            <w:r w:rsidRPr="00DD6F78">
              <w:t>events that constitute an incident or unplanned event</w:t>
            </w:r>
          </w:p>
          <w:p w:rsidR="00000000" w:rsidRPr="00DD6F78" w:rsidP="00DD6F78">
            <w:pPr>
              <w:pStyle w:val="ListBullet"/>
            </w:pPr>
            <w:r w:rsidRPr="00DD6F78">
              <w:t>procedures for responding to an unplanned event or incident</w:t>
            </w:r>
          </w:p>
          <w:p w:rsidR="00000000" w:rsidRPr="00DD6F78" w:rsidP="00DD6F78">
            <w:pPr>
              <w:pStyle w:val="ListBullet"/>
            </w:pPr>
            <w:r w:rsidRPr="00DD6F78">
              <w:t>work instruction requirements, including:</w:t>
            </w:r>
          </w:p>
          <w:p w:rsidR="00000000" w:rsidRPr="00DD6F78" w:rsidP="00DD6F78">
            <w:pPr>
              <w:pStyle w:val="ListBullet2"/>
            </w:pPr>
            <w:r w:rsidRPr="00DD6F78">
              <w:t>types of and layou</w:t>
            </w:r>
            <w:r w:rsidRPr="00DD6F78">
              <w:t xml:space="preserve">t of drawings </w:t>
            </w:r>
          </w:p>
          <w:p w:rsidR="00000000" w:rsidRPr="00DD6F78" w:rsidP="00DD6F78">
            <w:pPr>
              <w:pStyle w:val="ListBullet2"/>
            </w:pPr>
            <w:r w:rsidRPr="00DD6F78">
              <w:t>cable routes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manufacturer’s instructions </w:t>
            </w:r>
          </w:p>
          <w:p w:rsidR="00000000" w:rsidRPr="00DD6F78" w:rsidP="00DD6F78">
            <w:pPr>
              <w:pStyle w:val="ListBullet2"/>
            </w:pPr>
            <w:r w:rsidRPr="00DD6F78">
              <w:t>workplace documentation procedures</w:t>
            </w:r>
          </w:p>
          <w:p w:rsidR="00000000" w:rsidRPr="00DD6F78" w:rsidP="00DD6F78">
            <w:pPr>
              <w:pStyle w:val="ListBullet"/>
            </w:pPr>
            <w:r w:rsidRPr="00DD6F78">
              <w:t>high voltage (HV) and low voltage (LV) paper insulated and polymeric cables, including:</w:t>
            </w:r>
          </w:p>
          <w:p w:rsidR="00000000" w:rsidRPr="00DD6F78" w:rsidP="00DD6F78">
            <w:pPr>
              <w:pStyle w:val="ListBullet2"/>
            </w:pPr>
            <w:r w:rsidRPr="00DD6F78">
              <w:t>types and sizes</w:t>
            </w:r>
          </w:p>
          <w:p w:rsidR="00000000" w:rsidRPr="00DD6F78" w:rsidP="00DD6F78">
            <w:pPr>
              <w:pStyle w:val="ListBullet2"/>
            </w:pPr>
            <w:r w:rsidRPr="00DD6F78">
              <w:t>construction, characteristics and properties</w:t>
            </w:r>
          </w:p>
          <w:p w:rsidR="00000000" w:rsidRPr="00DD6F78" w:rsidP="00DD6F78">
            <w:pPr>
              <w:pStyle w:val="ListBullet2"/>
            </w:pPr>
            <w:r w:rsidRPr="00DD6F78">
              <w:t>minimum bending radius</w:t>
            </w:r>
          </w:p>
          <w:p w:rsidR="00000000" w:rsidRPr="00DD6F78" w:rsidP="00DD6F78">
            <w:pPr>
              <w:pStyle w:val="ListBullet"/>
            </w:pPr>
            <w:r w:rsidRPr="00DD6F78">
              <w:t>cable fault location, including:</w:t>
            </w:r>
          </w:p>
          <w:p w:rsidR="00000000" w:rsidRPr="00DD6F78" w:rsidP="00DD6F78">
            <w:pPr>
              <w:pStyle w:val="ListBullet2"/>
            </w:pPr>
            <w:r w:rsidRPr="00DD6F78">
              <w:t>types of and causes of cable defects</w:t>
            </w:r>
          </w:p>
          <w:p w:rsidR="00000000" w:rsidRPr="00DD6F78" w:rsidP="00DD6F78">
            <w:pPr>
              <w:pStyle w:val="ListBullet2"/>
            </w:pPr>
            <w:r w:rsidRPr="00DD6F78">
              <w:t xml:space="preserve">types of and causes of cable faults </w:t>
            </w:r>
          </w:p>
          <w:p w:rsidR="00000000" w:rsidRPr="00DD6F78" w:rsidP="00DD6F78">
            <w:pPr>
              <w:pStyle w:val="ListBullet2"/>
            </w:pPr>
            <w:r w:rsidRPr="00DD6F78">
              <w:t>low resistance cable fault pre-location methods</w:t>
            </w:r>
          </w:p>
          <w:p w:rsidR="00000000" w:rsidRPr="00DD6F78" w:rsidP="00DD6F78">
            <w:pPr>
              <w:pStyle w:val="ListBullet2"/>
            </w:pPr>
            <w:r w:rsidRPr="00DD6F78">
              <w:t>high resistance cable fault pre-location methods</w:t>
            </w:r>
          </w:p>
          <w:p w:rsidR="00000000" w:rsidRPr="00DD6F78" w:rsidP="00DD6F78">
            <w:pPr>
              <w:pStyle w:val="ListBullet2"/>
            </w:pPr>
            <w:r w:rsidRPr="00DD6F78">
              <w:t>cable fault pinpointing met</w:t>
            </w:r>
            <w:r w:rsidRPr="00DD6F78">
              <w:t>hods</w:t>
            </w:r>
          </w:p>
          <w:p w:rsidR="00000000" w:rsidRPr="00DD6F78" w:rsidP="00DD6F78">
            <w:pPr>
              <w:pStyle w:val="ListBullet2"/>
            </w:pPr>
            <w:r w:rsidRPr="00DD6F78">
              <w:t>advantages and disadvantages of different testing methods</w:t>
            </w:r>
          </w:p>
          <w:p w:rsidR="00000000" w:rsidRPr="00DD6F78" w:rsidP="00DD6F78">
            <w:pPr>
              <w:pStyle w:val="ListBullet2"/>
            </w:pPr>
            <w:r w:rsidRPr="00DD6F78">
              <w:t>types of cable fault locating equipment</w:t>
            </w:r>
          </w:p>
          <w:p w:rsidR="00000000" w:rsidRPr="00DD6F78" w:rsidP="00DD6F78">
            <w:pPr>
              <w:pStyle w:val="ListBullet2"/>
            </w:pPr>
            <w:r w:rsidRPr="00DD6F78">
              <w:t>use of cable fault locating equipment</w:t>
            </w:r>
          </w:p>
          <w:p w:rsidR="00000000" w:rsidRPr="00DD6F78" w:rsidP="00DD6F78">
            <w:pPr>
              <w:pStyle w:val="ListBullet2"/>
            </w:pPr>
            <w:r w:rsidRPr="00DD6F78">
              <w:t>cable fault locating procedures.</w:t>
            </w:r>
          </w:p>
        </w:tc>
      </w:tr>
    </w:tbl>
    <w:p w:rsidR="00000000" w:rsidRPr="00DD6F78" w:rsidP="00DD6F78">
      <w:pPr>
        <w:pStyle w:val="NoPaddingFontSize1"/>
      </w:pPr>
    </w:p>
    <w:p w:rsidR="00000000" w:rsidRPr="00DD6F78" w:rsidP="00DD6F78">
      <w:pPr>
        <w:pStyle w:val="AllowPageBreak"/>
      </w:pPr>
    </w:p>
    <w:p w:rsidR="00000000" w:rsidRPr="00DD6F78" w:rsidP="00DD6F78">
      <w:pPr>
        <w:pStyle w:val="Heading1"/>
      </w:pPr>
      <w:bookmarkStart w:id="4" w:name="O_1178808"/>
      <w:bookmarkEnd w:id="4"/>
      <w:r w:rsidRPr="00DD6F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F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78" w:rsidP="00DD6F78">
            <w:pPr>
              <w:pStyle w:val="BodyText"/>
            </w:pPr>
            <w:r w:rsidRPr="00DD6F78">
              <w:t>Assessors must hold credentials specified within the Standards for Registered Training Organisations current at the time of assessment.</w:t>
            </w:r>
          </w:p>
          <w:p w:rsidR="00000000" w:rsidRPr="00DD6F78" w:rsidP="00DD6F78">
            <w:pPr>
              <w:pStyle w:val="BodyText"/>
            </w:pPr>
            <w:r w:rsidRPr="00DD6F78">
              <w:t>Assessment must satisfy the Principles of Assessment and Rules of Evidence and all regulatory requirements included with</w:t>
            </w:r>
            <w:r w:rsidRPr="00DD6F78">
              <w:t>in the Standards for Registered Training Organisations current at the time of assessment.</w:t>
            </w:r>
          </w:p>
          <w:p w:rsidR="00000000" w:rsidRPr="00DD6F78" w:rsidP="00DD6F78">
            <w:pPr>
              <w:pStyle w:val="BodyText"/>
            </w:pPr>
            <w:r w:rsidRPr="00DD6F78">
              <w:t>Assessment must occur in workplace operational situations, where it is appropriate to do so.</w:t>
            </w:r>
          </w:p>
          <w:p w:rsidR="00000000" w:rsidRPr="00DD6F78" w:rsidP="00DD6F78">
            <w:pPr>
              <w:pStyle w:val="BodyText"/>
            </w:pPr>
            <w:r w:rsidRPr="00DD6F78">
              <w:t>Where this is not appropriate, assessment must occur in simulated conditi</w:t>
            </w:r>
            <w:r w:rsidRPr="00DD6F78">
              <w:t>ons involving realistic and authentic activities that replicate operational workplace conditions.</w:t>
            </w:r>
          </w:p>
          <w:p w:rsidR="00000000" w:rsidRPr="00DD6F78" w:rsidP="00DD6F78">
            <w:pPr>
              <w:pStyle w:val="BodyText"/>
            </w:pPr>
            <w:r w:rsidRPr="00DD6F78">
              <w:t>Assessment processes and techniques must be appropriate to the language, literacy and numeracy requirements of the work being performed and the needs of the c</w:t>
            </w:r>
            <w:r w:rsidRPr="00DD6F78">
              <w:t>andidate.</w:t>
            </w:r>
          </w:p>
          <w:p w:rsidR="00000000" w:rsidRPr="00DD6F78" w:rsidP="00DD6F78">
            <w:pPr>
              <w:pStyle w:val="BodyText"/>
            </w:pPr>
            <w:r w:rsidRPr="00DD6F78">
              <w:t>Resources for assessment must include access to:</w:t>
            </w:r>
          </w:p>
          <w:p w:rsidR="00000000" w:rsidRPr="00DD6F78" w:rsidP="00DD6F78">
            <w:pPr>
              <w:pStyle w:val="ListBullet"/>
            </w:pPr>
            <w:r w:rsidRPr="00DD6F78">
              <w:t>relevant and appropriate materials, tools, facilities, equipment and PPE currently used in industry for locating faults in underground power cables</w:t>
            </w:r>
          </w:p>
          <w:p w:rsidR="00000000" w:rsidRPr="00DD6F78" w:rsidP="00DD6F78">
            <w:pPr>
              <w:pStyle w:val="ListBullet"/>
            </w:pPr>
            <w:r w:rsidRPr="00DD6F78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DD6F78" w:rsidP="00DD6F78">
      <w:pPr>
        <w:pStyle w:val="NoPaddingFontSize1"/>
      </w:pPr>
    </w:p>
    <w:p w:rsidR="00000000" w:rsidRPr="00DD6F78" w:rsidP="00DD6F78">
      <w:pPr>
        <w:pStyle w:val="AllowPageBreak"/>
      </w:pPr>
    </w:p>
    <w:p w:rsidR="00000000" w:rsidRPr="00DD6F78" w:rsidP="00DD6F78">
      <w:pPr>
        <w:pStyle w:val="Heading1"/>
      </w:pPr>
      <w:bookmarkStart w:id="5" w:name="O_1178811"/>
      <w:bookmarkEnd w:id="5"/>
      <w:r w:rsidRPr="00DD6F78">
        <w:t>Links</w:t>
      </w:r>
    </w:p>
    <w:p w:rsidR="00000000" w:rsidRPr="00DD6F78" w:rsidP="004060F0">
      <w:pPr>
        <w:pStyle w:val="BodyText"/>
      </w:pPr>
      <w:r w:rsidRPr="00DD6F78">
        <w:t>Companion Volume Implementation Guides are found in VETNet -</w:t>
      </w:r>
      <w:r w:rsidRPr="00DD6F78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2DA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6F78" w:rsidP="00DD6F78"/>
    <w:sectPr w:rsidSect="00DD6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8" w:rsidRPr="004060F0" w:rsidP="00406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0" w:rsidP="00DD6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0F0" w:rsidP="00DD6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60F0" w:rsidP="00DD6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F78" w:rsidRPr="004060F0" w:rsidP="00406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0" w:rsidRPr="002D2AF8" w:rsidP="00DD6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UETDRDU017 Locate faults in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060F0" w:rsidP="00DD6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487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66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80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F78"/>
  </w:style>
  <w:style w:type="character" w:customStyle="1" w:styleId="Heading1Char">
    <w:name w:val="Heading 1 Char"/>
    <w:basedOn w:val="DefaultParagraphFont"/>
    <w:link w:val="Heading1"/>
    <w:rsid w:val="00DD6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F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F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6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F78"/>
    <w:rPr>
      <w:b/>
      <w:spacing w:val="0"/>
    </w:rPr>
  </w:style>
  <w:style w:type="paragraph" w:customStyle="1" w:styleId="SuperTitle">
    <w:name w:val="SuperTitle"/>
    <w:basedOn w:val="Title"/>
    <w:rsid w:val="00DD6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F78"/>
    <w:rPr>
      <w:i/>
    </w:rPr>
  </w:style>
  <w:style w:type="paragraph" w:styleId="Caption">
    <w:name w:val="caption"/>
    <w:basedOn w:val="BodyText"/>
    <w:next w:val="Normal"/>
    <w:qFormat/>
    <w:rsid w:val="00DD6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F78"/>
  </w:style>
  <w:style w:type="paragraph" w:styleId="TableofFigures">
    <w:name w:val="table of figures"/>
    <w:basedOn w:val="Normal"/>
    <w:next w:val="Normal"/>
    <w:semiHidden/>
    <w:rsid w:val="00DD6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F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F78"/>
    <w:rPr>
      <w:rFonts w:ascii="Wingdings" w:hAnsi="Wingdings"/>
    </w:rPr>
  </w:style>
  <w:style w:type="paragraph" w:customStyle="1" w:styleId="TableHeading">
    <w:name w:val="Table Heading"/>
    <w:basedOn w:val="HeadingBase"/>
    <w:rsid w:val="00DD6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F78"/>
    <w:rPr>
      <w:color w:val="0033CC"/>
      <w:u w:val="none"/>
    </w:rPr>
  </w:style>
  <w:style w:type="paragraph" w:customStyle="1" w:styleId="BodyTextRight">
    <w:name w:val="Body Text Right"/>
    <w:basedOn w:val="BodyText"/>
    <w:rsid w:val="00DD6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F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F78"/>
    <w:rPr>
      <w:sz w:val="32"/>
    </w:rPr>
  </w:style>
  <w:style w:type="paragraph" w:customStyle="1" w:styleId="HeadingProcedure">
    <w:name w:val="Heading Procedure"/>
    <w:basedOn w:val="HeadingBase"/>
    <w:next w:val="Normal"/>
    <w:rsid w:val="00DD6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F78"/>
    <w:pPr>
      <w:spacing w:before="60" w:after="60"/>
    </w:pPr>
  </w:style>
  <w:style w:type="paragraph" w:styleId="ListContinue">
    <w:name w:val="List Continue"/>
    <w:basedOn w:val="List"/>
    <w:rsid w:val="00DD6F78"/>
    <w:pPr>
      <w:ind w:firstLine="0"/>
    </w:pPr>
  </w:style>
  <w:style w:type="paragraph" w:customStyle="1" w:styleId="ListNote">
    <w:name w:val="List Note"/>
    <w:basedOn w:val="List"/>
    <w:rsid w:val="00DD6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F78"/>
    <w:rPr>
      <w:rFonts w:ascii="Courier New" w:hAnsi="Courier New"/>
    </w:rPr>
  </w:style>
  <w:style w:type="paragraph" w:customStyle="1" w:styleId="NoteBullet">
    <w:name w:val="Note Bullet"/>
    <w:basedOn w:val="Note"/>
    <w:rsid w:val="00DD6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F78"/>
    <w:rPr>
      <w:b/>
      <w:smallCaps/>
    </w:rPr>
  </w:style>
  <w:style w:type="paragraph" w:customStyle="1" w:styleId="TableListNumber">
    <w:name w:val="Table List Number"/>
    <w:basedOn w:val="ListNumber"/>
    <w:rsid w:val="00DD6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F78"/>
    <w:pPr>
      <w:numPr>
        <w:numId w:val="9"/>
      </w:numPr>
    </w:pPr>
  </w:style>
  <w:style w:type="paragraph" w:customStyle="1" w:styleId="ListAlpha2">
    <w:name w:val="List Alpha 2"/>
    <w:basedOn w:val="List2"/>
    <w:rsid w:val="00DD6F78"/>
    <w:pPr>
      <w:numPr>
        <w:numId w:val="8"/>
      </w:numPr>
    </w:pPr>
  </w:style>
  <w:style w:type="paragraph" w:styleId="List2">
    <w:name w:val="List 2"/>
    <w:basedOn w:val="BodyText"/>
    <w:rsid w:val="00DD6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F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F78"/>
    <w:pPr>
      <w:numPr>
        <w:numId w:val="4"/>
      </w:numPr>
    </w:pPr>
  </w:style>
  <w:style w:type="paragraph" w:styleId="ListContinue2">
    <w:name w:val="List Continue 2"/>
    <w:basedOn w:val="List2"/>
    <w:rsid w:val="00DD6F78"/>
    <w:pPr>
      <w:ind w:firstLine="0"/>
    </w:pPr>
  </w:style>
  <w:style w:type="paragraph" w:styleId="ListContinue3">
    <w:name w:val="List Continue 3"/>
    <w:basedOn w:val="List3"/>
    <w:rsid w:val="00DD6F78"/>
    <w:pPr>
      <w:ind w:left="1021" w:firstLine="0"/>
    </w:pPr>
  </w:style>
  <w:style w:type="paragraph" w:styleId="ListContinue4">
    <w:name w:val="List Continue 4"/>
    <w:basedOn w:val="List4"/>
    <w:rsid w:val="00DD6F78"/>
    <w:pPr>
      <w:ind w:firstLine="0"/>
    </w:pPr>
  </w:style>
  <w:style w:type="paragraph" w:styleId="ListContinue5">
    <w:name w:val="List Continue 5"/>
    <w:basedOn w:val="List5"/>
    <w:rsid w:val="00DD6F78"/>
    <w:pPr>
      <w:ind w:firstLine="0"/>
    </w:pPr>
  </w:style>
  <w:style w:type="paragraph" w:styleId="ListNumber3">
    <w:name w:val="List Number 3"/>
    <w:basedOn w:val="List3"/>
    <w:rsid w:val="00DD6F78"/>
    <w:pPr>
      <w:numPr>
        <w:numId w:val="5"/>
      </w:numPr>
    </w:pPr>
  </w:style>
  <w:style w:type="paragraph" w:styleId="ListNumber4">
    <w:name w:val="List Number 4"/>
    <w:basedOn w:val="List4"/>
    <w:rsid w:val="00DD6F78"/>
    <w:pPr>
      <w:numPr>
        <w:numId w:val="6"/>
      </w:numPr>
    </w:pPr>
  </w:style>
  <w:style w:type="paragraph" w:styleId="ListNumber5">
    <w:name w:val="List Number 5"/>
    <w:basedOn w:val="List5"/>
    <w:rsid w:val="00DD6F78"/>
    <w:pPr>
      <w:numPr>
        <w:numId w:val="7"/>
      </w:numPr>
    </w:pPr>
  </w:style>
  <w:style w:type="paragraph" w:styleId="BlockText">
    <w:name w:val="Block Text"/>
    <w:basedOn w:val="Normal"/>
    <w:rsid w:val="00DD6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F78"/>
    <w:rPr>
      <w:sz w:val="16"/>
      <w:vertAlign w:val="superscript"/>
    </w:rPr>
  </w:style>
  <w:style w:type="character" w:customStyle="1" w:styleId="Symbols">
    <w:name w:val="Symbols"/>
    <w:basedOn w:val="DefaultParagraphFont"/>
    <w:rsid w:val="00DD6F78"/>
    <w:rPr>
      <w:rFonts w:ascii="Symbol" w:hAnsi="Symbol"/>
    </w:rPr>
  </w:style>
  <w:style w:type="character" w:customStyle="1" w:styleId="MenuOptions">
    <w:name w:val="Menu Options"/>
    <w:basedOn w:val="DefaultParagraphFont"/>
    <w:rsid w:val="00DD6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F78"/>
    <w:rPr>
      <w:b/>
    </w:rPr>
  </w:style>
  <w:style w:type="character" w:customStyle="1" w:styleId="Underlined">
    <w:name w:val="Underlined"/>
    <w:basedOn w:val="DefaultParagraphFont"/>
    <w:rsid w:val="00DD6F78"/>
    <w:rPr>
      <w:u w:val="single"/>
    </w:rPr>
  </w:style>
  <w:style w:type="paragraph" w:customStyle="1" w:styleId="TableBodyTextRight">
    <w:name w:val="Table Body Text Right"/>
    <w:basedOn w:val="TableBodyText"/>
    <w:rsid w:val="00DD6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F78"/>
    <w:rPr>
      <w:sz w:val="18"/>
    </w:rPr>
  </w:style>
  <w:style w:type="paragraph" w:customStyle="1" w:styleId="BodySmallRight">
    <w:name w:val="Body Small Right"/>
    <w:basedOn w:val="BodyTextRight"/>
    <w:rsid w:val="00DD6F78"/>
    <w:rPr>
      <w:sz w:val="18"/>
      <w:szCs w:val="18"/>
    </w:rPr>
  </w:style>
  <w:style w:type="paragraph" w:customStyle="1" w:styleId="MarginEdition">
    <w:name w:val="Margin Edition"/>
    <w:basedOn w:val="MarginNote"/>
    <w:rsid w:val="00DD6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F78"/>
    <w:rPr>
      <w:sz w:val="2"/>
      <w:szCs w:val="2"/>
    </w:rPr>
  </w:style>
  <w:style w:type="character" w:customStyle="1" w:styleId="Small">
    <w:name w:val="Small"/>
    <w:basedOn w:val="DefaultParagraphFont"/>
    <w:rsid w:val="00DD6F78"/>
    <w:rPr>
      <w:sz w:val="16"/>
    </w:rPr>
  </w:style>
  <w:style w:type="paragraph" w:customStyle="1" w:styleId="WideTable">
    <w:name w:val="Wide Table"/>
    <w:basedOn w:val="Normal"/>
    <w:rsid w:val="00DD6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F78"/>
  </w:style>
  <w:style w:type="paragraph" w:styleId="Quote">
    <w:name w:val="Quote"/>
    <w:basedOn w:val="Heading1"/>
    <w:link w:val="QuoteChar"/>
    <w:qFormat/>
    <w:rsid w:val="00DD6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F78"/>
    <w:pPr>
      <w:pageBreakBefore/>
    </w:pPr>
  </w:style>
  <w:style w:type="paragraph" w:customStyle="1" w:styleId="Border">
    <w:name w:val="Border"/>
    <w:basedOn w:val="Normal"/>
    <w:qFormat/>
    <w:rsid w:val="00DD6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F78"/>
    <w:rPr>
      <w:u w:val="single"/>
    </w:rPr>
  </w:style>
  <w:style w:type="character" w:customStyle="1" w:styleId="BoldandItalics">
    <w:name w:val="Bold and Italics"/>
    <w:qFormat/>
    <w:rsid w:val="00DD6F78"/>
    <w:rPr>
      <w:b/>
      <w:i/>
      <w:u w:val="none"/>
    </w:rPr>
  </w:style>
  <w:style w:type="paragraph" w:styleId="BalloonText">
    <w:name w:val="Balloon Text"/>
    <w:basedOn w:val="Normal"/>
    <w:link w:val="BalloonTextChar"/>
    <w:rsid w:val="00DD6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F78"/>
    <w:pPr>
      <w:spacing w:before="0" w:after="0"/>
    </w:pPr>
  </w:style>
  <w:style w:type="paragraph" w:customStyle="1" w:styleId="BodyTextBold">
    <w:name w:val="Body Text Bold"/>
    <w:basedOn w:val="BodyText"/>
    <w:qFormat/>
    <w:rsid w:val="00DD6F78"/>
    <w:rPr>
      <w:b/>
    </w:rPr>
  </w:style>
  <w:style w:type="character" w:styleId="Hyperlink">
    <w:name w:val="Hyperlink"/>
    <w:basedOn w:val="DefaultParagraphFont"/>
    <w:uiPriority w:val="99"/>
    <w:unhideWhenUsed/>
    <w:rsid w:val="00406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4314</Characters>
  <Application>Microsoft Office Word</Application>
  <DocSecurity>0</DocSecurity>
  <Lines>113</Lines>
  <Paragraphs>95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UETDRDU017 Locate faults in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