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FF5" w:rsidP="00A13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UETDRDU007 Install and maintain underground public lighting</w:t>
      </w:r>
      <w:r>
        <w:fldChar w:fldCharType="end"/>
      </w:r>
    </w:p>
    <w:p w:rsidR="00A13FF5" w:rsidP="00A13FF5">
      <w:pPr>
        <w:pStyle w:val="Version"/>
        <w:sectPr w:rsidSect="00DF1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0C3" w:rsidP="00DF10C3">
      <w:pPr>
        <w:pStyle w:val="SuperHeading"/>
      </w:pPr>
      <w:r w:rsidRPr="00DF10C3">
        <w:t>Assessment Requirements for UETDRDU007 Install and maintain underground public lighting</w:t>
      </w:r>
    </w:p>
    <w:p w:rsidR="00000000" w:rsidRPr="00DF10C3" w:rsidP="00DF10C3">
      <w:pPr>
        <w:pStyle w:val="Heading1"/>
      </w:pPr>
      <w:bookmarkStart w:id="1" w:name="O_1178368"/>
      <w:bookmarkEnd w:id="1"/>
      <w:r w:rsidRPr="00DF10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1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0C3" w:rsidP="00DF10C3">
            <w:pPr>
              <w:pStyle w:val="BodyText"/>
            </w:pPr>
            <w:r w:rsidRPr="00DF10C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F10C3" w:rsidP="00DF10C3">
      <w:pPr>
        <w:pStyle w:val="NoPaddingFontSize1"/>
      </w:pPr>
    </w:p>
    <w:p w:rsidR="00000000" w:rsidRPr="00DF10C3" w:rsidP="00DF10C3">
      <w:pPr>
        <w:pStyle w:val="AllowPageBreak"/>
      </w:pPr>
    </w:p>
    <w:p w:rsidR="00000000" w:rsidRPr="00DF10C3" w:rsidP="00DF10C3">
      <w:pPr>
        <w:pStyle w:val="Heading1"/>
      </w:pPr>
      <w:bookmarkStart w:id="2" w:name="O_1178369"/>
      <w:bookmarkEnd w:id="2"/>
      <w:r w:rsidRPr="00DF10C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1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0C3">
            <w:pPr>
              <w:pStyle w:val="BodyText"/>
              <w:rPr>
                <w:lang w:val="en-NZ"/>
              </w:rPr>
            </w:pPr>
            <w:r w:rsidRPr="00DF10C3">
              <w:t>Evidence required to demonstrate competence in this unit must be r</w:t>
            </w:r>
            <w:r w:rsidRPr="00DF10C3">
              <w:t xml:space="preserve">elevant to and satisfy all of the requirements of the elements and performance criteria on at least two separate occasions and include:  </w:t>
            </w:r>
          </w:p>
        </w:tc>
      </w:tr>
      <w:tr w:rsidTr="00DF1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0C3" w:rsidP="00DF10C3">
            <w:pPr>
              <w:pStyle w:val="ListBullet"/>
            </w:pPr>
            <w:r w:rsidRPr="00DF10C3">
              <w:t xml:space="preserve">applying relevant legislation, regulations, standards, codes of practice and organisational workplace requirements, </w:t>
            </w:r>
            <w:r w:rsidRPr="00DF10C3">
              <w:t>including:</w:t>
            </w:r>
          </w:p>
          <w:p w:rsidR="00000000" w:rsidRPr="00DF10C3" w:rsidP="00DF10C3">
            <w:pPr>
              <w:pStyle w:val="ListBullet2"/>
            </w:pPr>
            <w:r w:rsidRPr="00DF10C3">
              <w:t>work health and safety (WHS)/occupational health and safety (OHS)</w:t>
            </w:r>
          </w:p>
          <w:p w:rsidR="00000000" w:rsidRPr="00DF10C3" w:rsidP="00DF10C3">
            <w:pPr>
              <w:pStyle w:val="ListBullet2"/>
            </w:pPr>
            <w:r w:rsidRPr="00DF10C3">
              <w:t>safe approach distances</w:t>
            </w:r>
          </w:p>
          <w:p w:rsidR="00000000" w:rsidRPr="00DF10C3" w:rsidP="00DF10C3">
            <w:pPr>
              <w:pStyle w:val="ListBullet"/>
            </w:pPr>
            <w:r w:rsidRPr="00DF10C3">
              <w:t>identifying hazards, assessing risks, identifying, applying and monitoring control measures</w:t>
            </w:r>
          </w:p>
          <w:p w:rsidR="00000000" w:rsidRPr="00DF10C3" w:rsidP="00DF10C3">
            <w:pPr>
              <w:pStyle w:val="ListBullet"/>
            </w:pPr>
            <w:r w:rsidRPr="00DF10C3">
              <w:t>obtaining, inspecting and using relevant personal protective equipment (PPE)</w:t>
            </w:r>
          </w:p>
          <w:p w:rsidR="00000000" w:rsidRPr="00DF10C3" w:rsidP="00DF10C3">
            <w:pPr>
              <w:pStyle w:val="ListBullet"/>
            </w:pPr>
            <w:r w:rsidRPr="00DF10C3">
              <w:t>determining communication method with safety observer</w:t>
            </w:r>
          </w:p>
          <w:p w:rsidR="00000000" w:rsidRPr="00DF10C3" w:rsidP="00DF10C3">
            <w:pPr>
              <w:pStyle w:val="ListBullet"/>
            </w:pPr>
            <w:r w:rsidRPr="00DF10C3">
              <w:t>confirming safety observer is in position in accordance with workplace requirements</w:t>
            </w:r>
          </w:p>
          <w:p w:rsidR="00000000" w:rsidRPr="00DF10C3" w:rsidP="00DF10C3">
            <w:pPr>
              <w:pStyle w:val="ListBullet"/>
            </w:pPr>
            <w:r w:rsidRPr="00DF10C3">
              <w:t>obtaining and signing on and off relevant</w:t>
            </w:r>
            <w:r w:rsidRPr="00DF10C3">
              <w:t xml:space="preserve"> work permits in accordance with workplace requirements</w:t>
            </w:r>
          </w:p>
          <w:p w:rsidR="00000000" w:rsidRPr="00DF10C3" w:rsidP="00DF10C3">
            <w:pPr>
              <w:pStyle w:val="ListBullet"/>
            </w:pPr>
            <w:r w:rsidRPr="00DF10C3">
              <w:t>installing public lighting, including:</w:t>
            </w:r>
          </w:p>
          <w:p w:rsidR="00000000" w:rsidRPr="00DF10C3" w:rsidP="00DF10C3">
            <w:pPr>
              <w:pStyle w:val="ListBullet2"/>
            </w:pPr>
            <w:r w:rsidRPr="00DF10C3">
              <w:t>poles/columns</w:t>
            </w:r>
          </w:p>
          <w:p w:rsidR="00000000" w:rsidRPr="00DF10C3" w:rsidP="00DF10C3">
            <w:pPr>
              <w:pStyle w:val="ListBullet2"/>
            </w:pPr>
            <w:r w:rsidRPr="00DF10C3">
              <w:t>cable</w:t>
            </w:r>
          </w:p>
          <w:p w:rsidR="00000000" w:rsidRPr="00DF10C3" w:rsidP="00DF10C3">
            <w:pPr>
              <w:pStyle w:val="ListBullet2"/>
            </w:pPr>
            <w:r w:rsidRPr="00DF10C3">
              <w:t xml:space="preserve">lanterns/luminaires </w:t>
            </w:r>
          </w:p>
          <w:p w:rsidR="00000000" w:rsidRPr="00DF10C3" w:rsidP="00DF10C3">
            <w:pPr>
              <w:pStyle w:val="ListBullet2"/>
            </w:pPr>
            <w:r w:rsidRPr="00DF10C3">
              <w:t>outreach arms</w:t>
            </w:r>
          </w:p>
          <w:p w:rsidR="00000000" w:rsidRPr="00DF10C3" w:rsidP="00DF10C3">
            <w:pPr>
              <w:pStyle w:val="ListBullet2"/>
            </w:pPr>
            <w:r w:rsidRPr="00DF10C3">
              <w:t>fuses</w:t>
            </w:r>
          </w:p>
          <w:p w:rsidR="00000000" w:rsidRPr="00DF10C3" w:rsidP="00DF10C3">
            <w:pPr>
              <w:pStyle w:val="ListBullet2"/>
            </w:pPr>
            <w:r w:rsidRPr="00DF10C3">
              <w:t>control equipment</w:t>
            </w:r>
          </w:p>
          <w:p w:rsidR="00000000" w:rsidRPr="00DF10C3" w:rsidP="00DF10C3">
            <w:pPr>
              <w:pStyle w:val="ListBullet"/>
            </w:pPr>
            <w:r w:rsidRPr="00DF10C3">
              <w:t>replacing public lighting poles/columns</w:t>
            </w:r>
          </w:p>
          <w:p w:rsidR="00000000" w:rsidRPr="00DF10C3" w:rsidP="00DF10C3">
            <w:pPr>
              <w:pStyle w:val="ListBullet"/>
            </w:pPr>
            <w:r w:rsidRPr="00DF10C3">
              <w:t>maintaining public lighting hardware, including replacing any three (3) of the following:</w:t>
            </w:r>
          </w:p>
          <w:p w:rsidR="00000000" w:rsidRPr="00DF10C3" w:rsidP="00DF10C3">
            <w:pPr>
              <w:pStyle w:val="ListBullet2"/>
            </w:pPr>
            <w:r w:rsidRPr="00DF10C3">
              <w:t>luminaires</w:t>
            </w:r>
          </w:p>
          <w:p w:rsidR="00000000" w:rsidRPr="00DF10C3" w:rsidP="00DF10C3">
            <w:pPr>
              <w:pStyle w:val="ListBullet2"/>
            </w:pPr>
            <w:r w:rsidRPr="00DF10C3">
              <w:t>lamps</w:t>
            </w:r>
          </w:p>
          <w:p w:rsidR="00000000" w:rsidRPr="00DF10C3" w:rsidP="00DF10C3">
            <w:pPr>
              <w:pStyle w:val="ListBullet2"/>
            </w:pPr>
            <w:r w:rsidRPr="00DF10C3">
              <w:t>fuses</w:t>
            </w:r>
          </w:p>
          <w:p w:rsidR="00000000" w:rsidRPr="00DF10C3" w:rsidP="00DF10C3">
            <w:pPr>
              <w:pStyle w:val="ListBullet2"/>
            </w:pPr>
            <w:r w:rsidRPr="00DF10C3">
              <w:t>cable</w:t>
            </w:r>
          </w:p>
          <w:p w:rsidR="00000000" w:rsidRPr="00DF10C3" w:rsidP="00DF10C3">
            <w:pPr>
              <w:pStyle w:val="ListBullet2"/>
            </w:pPr>
            <w:r w:rsidRPr="00DF10C3">
              <w:t>control equipment</w:t>
            </w:r>
          </w:p>
          <w:p w:rsidR="00000000" w:rsidRPr="00DF10C3" w:rsidP="00DF10C3">
            <w:pPr>
              <w:pStyle w:val="ListBullet"/>
            </w:pPr>
            <w:r w:rsidRPr="00DF10C3">
              <w:t>identifying/diagnosing public lighting faults</w:t>
            </w:r>
          </w:p>
          <w:p w:rsidR="00000000" w:rsidRPr="00DF10C3" w:rsidP="00DF10C3">
            <w:pPr>
              <w:pStyle w:val="ListBullet"/>
            </w:pPr>
            <w:r w:rsidRPr="00DF10C3">
              <w:t>rectifying public lighting faults</w:t>
            </w:r>
          </w:p>
          <w:p w:rsidR="00000000" w:rsidRPr="00DF10C3" w:rsidP="00DF10C3">
            <w:pPr>
              <w:pStyle w:val="ListBullet"/>
            </w:pPr>
            <w:r w:rsidRPr="00DF10C3">
              <w:t xml:space="preserve">conducting at least three (3) of the </w:t>
            </w:r>
            <w:r w:rsidRPr="00DF10C3">
              <w:t>following tests:</w:t>
            </w:r>
          </w:p>
          <w:p w:rsidR="00000000" w:rsidRPr="00DF10C3" w:rsidP="00DF10C3">
            <w:pPr>
              <w:pStyle w:val="ListBullet2"/>
            </w:pPr>
            <w:r w:rsidRPr="00DF10C3">
              <w:t>polarity*</w:t>
            </w:r>
          </w:p>
          <w:p w:rsidR="00000000" w:rsidRPr="00DF10C3" w:rsidP="00DF10C3">
            <w:pPr>
              <w:pStyle w:val="ListBullet2"/>
            </w:pPr>
            <w:r w:rsidRPr="00DF10C3">
              <w:t xml:space="preserve">voltage </w:t>
            </w:r>
          </w:p>
          <w:p w:rsidR="00000000" w:rsidRPr="00DF10C3" w:rsidP="00DF10C3">
            <w:pPr>
              <w:pStyle w:val="ListBullet2"/>
            </w:pPr>
            <w:r w:rsidRPr="00DF10C3">
              <w:t>continuity</w:t>
            </w:r>
          </w:p>
          <w:p w:rsidR="00000000" w:rsidRPr="00DF10C3" w:rsidP="00DF10C3">
            <w:pPr>
              <w:pStyle w:val="ListBullet2"/>
            </w:pPr>
            <w:r w:rsidRPr="00DF10C3">
              <w:t xml:space="preserve">insulation resistance </w:t>
            </w:r>
          </w:p>
          <w:p w:rsidR="00000000" w:rsidRPr="00DF10C3" w:rsidP="00DF10C3">
            <w:pPr>
              <w:pStyle w:val="ListBullet2"/>
            </w:pPr>
            <w:r w:rsidRPr="00DF10C3">
              <w:t>neutral identification</w:t>
            </w:r>
          </w:p>
          <w:p w:rsidR="00000000" w:rsidRPr="00DF10C3" w:rsidP="00DF10C3">
            <w:pPr>
              <w:pStyle w:val="ListBullet2"/>
            </w:pPr>
            <w:r w:rsidRPr="00DF10C3">
              <w:t>loop impedance</w:t>
            </w:r>
          </w:p>
          <w:p w:rsidR="00000000" w:rsidRPr="00DF10C3" w:rsidP="00DF10C3">
            <w:pPr>
              <w:pStyle w:val="ListBullet2"/>
            </w:pPr>
            <w:r w:rsidRPr="00DF10C3">
              <w:t>earth resistance</w:t>
            </w:r>
          </w:p>
          <w:p w:rsidR="00000000" w:rsidRPr="00DF10C3" w:rsidP="00DF10C3">
            <w:pPr>
              <w:pStyle w:val="ListBullet2"/>
            </w:pPr>
            <w:r w:rsidRPr="00DF10C3">
              <w:t>(*must do)</w:t>
            </w:r>
          </w:p>
          <w:p w:rsidR="00000000" w:rsidRPr="00DF10C3" w:rsidP="00DF10C3">
            <w:pPr>
              <w:pStyle w:val="ListBullet"/>
            </w:pPr>
            <w:r w:rsidRPr="00DF10C3">
              <w:t>dealing with an unplanned event on at least one (1) occasion</w:t>
            </w:r>
          </w:p>
          <w:p w:rsidR="00000000" w:rsidRPr="00DF10C3" w:rsidP="00DF10C3">
            <w:pPr>
              <w:pStyle w:val="ListBullet"/>
            </w:pPr>
            <w:r w:rsidRPr="00DF10C3">
              <w:t>completing relevant work records, reports and documentation.</w:t>
            </w:r>
          </w:p>
        </w:tc>
      </w:tr>
    </w:tbl>
    <w:p w:rsidR="00000000" w:rsidRPr="00DF10C3" w:rsidP="00DF10C3">
      <w:pPr>
        <w:pStyle w:val="NoPaddingFontSize1"/>
      </w:pPr>
    </w:p>
    <w:p w:rsidR="00000000" w:rsidRPr="00DF10C3" w:rsidP="00DF10C3">
      <w:pPr>
        <w:pStyle w:val="AllowPageBreak"/>
      </w:pPr>
    </w:p>
    <w:p w:rsidR="00000000" w:rsidRPr="00DF10C3" w:rsidP="00DF10C3">
      <w:pPr>
        <w:pStyle w:val="Heading1"/>
      </w:pPr>
      <w:bookmarkStart w:id="3" w:name="O_1178370"/>
      <w:bookmarkEnd w:id="3"/>
      <w:r w:rsidRPr="00DF10C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1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0C3">
            <w:pPr>
              <w:pStyle w:val="BodyText"/>
              <w:rPr>
                <w:lang w:val="en-NZ"/>
              </w:rPr>
            </w:pPr>
            <w:r w:rsidRPr="00DF10C3">
              <w:t xml:space="preserve">Evidence required to demonstrate competence in this unit must be relevant to and satisfy all of the requirements of the elements and performance </w:t>
            </w:r>
            <w:r w:rsidRPr="00DF10C3">
              <w:t>criteria and include knowledge of:</w:t>
            </w:r>
          </w:p>
        </w:tc>
      </w:tr>
      <w:tr w:rsidTr="00DF1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0C3" w:rsidP="00DF10C3">
            <w:pPr>
              <w:pStyle w:val="ListBullet"/>
            </w:pPr>
            <w:r w:rsidRPr="00DF10C3">
              <w:t>legislation, regulations, standards, codes of practice and organisational workplace requirements, including:</w:t>
            </w:r>
          </w:p>
          <w:p w:rsidR="00000000" w:rsidRPr="00DF10C3" w:rsidP="00DF10C3">
            <w:pPr>
              <w:pStyle w:val="ListBullet2"/>
            </w:pPr>
            <w:r w:rsidRPr="00DF10C3">
              <w:t>WHS/OHS</w:t>
            </w:r>
          </w:p>
          <w:p w:rsidR="00000000" w:rsidRPr="00DF10C3" w:rsidP="00DF10C3">
            <w:pPr>
              <w:pStyle w:val="ListBullet2"/>
            </w:pPr>
            <w:r w:rsidRPr="00DF10C3">
              <w:t>safe approach distances</w:t>
            </w:r>
          </w:p>
          <w:p w:rsidR="00000000" w:rsidRPr="00DF10C3" w:rsidP="00DF10C3">
            <w:pPr>
              <w:pStyle w:val="ListBullet2"/>
            </w:pPr>
            <w:r w:rsidRPr="00DF10C3">
              <w:t xml:space="preserve">installation and maintenance of public lighting </w:t>
            </w:r>
          </w:p>
          <w:p w:rsidR="00000000" w:rsidRPr="00DF10C3" w:rsidP="00DF10C3">
            <w:pPr>
              <w:pStyle w:val="ListBullet2"/>
            </w:pPr>
            <w:r w:rsidRPr="00DF10C3">
              <w:t xml:space="preserve">inspection, testing and commissioning of public lighting </w:t>
            </w:r>
          </w:p>
          <w:p w:rsidR="00000000" w:rsidRPr="00DF10C3" w:rsidP="00DF10C3">
            <w:pPr>
              <w:pStyle w:val="ListBullet2"/>
            </w:pPr>
            <w:r w:rsidRPr="00DF10C3">
              <w:t xml:space="preserve">live low voltage (LV) connection principles </w:t>
            </w:r>
          </w:p>
          <w:p w:rsidR="00000000" w:rsidRPr="00DF10C3" w:rsidP="00DF10C3">
            <w:pPr>
              <w:pStyle w:val="ListBullet"/>
            </w:pPr>
            <w:r w:rsidRPr="00DF10C3">
              <w:t>hazard, risk assessment and risk control requirements including potential hazards</w:t>
            </w:r>
          </w:p>
          <w:p w:rsidR="00000000" w:rsidRPr="00DF10C3" w:rsidP="00DF10C3">
            <w:pPr>
              <w:pStyle w:val="ListBullet"/>
            </w:pPr>
            <w:r w:rsidRPr="00DF10C3">
              <w:t>types and application of PPE</w:t>
            </w:r>
          </w:p>
          <w:p w:rsidR="00000000" w:rsidRPr="00DF10C3" w:rsidP="00DF10C3">
            <w:pPr>
              <w:pStyle w:val="ListBullet"/>
            </w:pPr>
            <w:r w:rsidRPr="00DF10C3">
              <w:t xml:space="preserve">safe use of plant, tools and equipment </w:t>
            </w:r>
          </w:p>
          <w:p w:rsidR="00000000" w:rsidRPr="00DF10C3" w:rsidP="00DF10C3">
            <w:pPr>
              <w:pStyle w:val="ListBullet"/>
            </w:pPr>
            <w:r w:rsidRPr="00DF10C3">
              <w:t>a</w:t>
            </w:r>
            <w:r w:rsidRPr="00DF10C3">
              <w:t>pplication, purpose and types of permits</w:t>
            </w:r>
          </w:p>
          <w:p w:rsidR="00000000" w:rsidRPr="00DF10C3" w:rsidP="00DF10C3">
            <w:pPr>
              <w:pStyle w:val="ListBullet"/>
            </w:pPr>
            <w:r w:rsidRPr="00DF10C3">
              <w:t>events constituting an unplanned event or incident</w:t>
            </w:r>
          </w:p>
          <w:p w:rsidR="00000000" w:rsidRPr="00DF10C3" w:rsidP="00DF10C3">
            <w:pPr>
              <w:pStyle w:val="ListBullet"/>
            </w:pPr>
            <w:r w:rsidRPr="00DF10C3">
              <w:t>procedures for responding to an unplanned event or incident</w:t>
            </w:r>
          </w:p>
          <w:p w:rsidR="00000000" w:rsidRPr="00DF10C3" w:rsidP="00DF10C3">
            <w:pPr>
              <w:pStyle w:val="ListBullet"/>
            </w:pPr>
            <w:r w:rsidRPr="00DF10C3">
              <w:t>safety observer:</w:t>
            </w:r>
          </w:p>
          <w:p w:rsidR="00000000" w:rsidRPr="00DF10C3" w:rsidP="00DF10C3">
            <w:pPr>
              <w:pStyle w:val="ListBullet2"/>
            </w:pPr>
            <w:r w:rsidRPr="00DF10C3">
              <w:t xml:space="preserve">role and responsibilities </w:t>
            </w:r>
          </w:p>
          <w:p w:rsidR="00000000" w:rsidRPr="00DF10C3" w:rsidP="00DF10C3">
            <w:pPr>
              <w:pStyle w:val="ListBullet2"/>
            </w:pPr>
            <w:r w:rsidRPr="00DF10C3">
              <w:t>communication methods</w:t>
            </w:r>
          </w:p>
          <w:p w:rsidR="00000000" w:rsidRPr="00DF10C3" w:rsidP="00DF10C3">
            <w:pPr>
              <w:pStyle w:val="ListBullet"/>
            </w:pPr>
            <w:r w:rsidRPr="00DF10C3">
              <w:t>construction manuals, system diagram</w:t>
            </w:r>
            <w:r w:rsidRPr="00DF10C3">
              <w:t>s/plans and drawings for public lighting</w:t>
            </w:r>
          </w:p>
          <w:p w:rsidR="00000000" w:rsidRPr="00DF10C3" w:rsidP="00DF10C3">
            <w:pPr>
              <w:pStyle w:val="ListBullet"/>
            </w:pPr>
            <w:r w:rsidRPr="00DF10C3">
              <w:t>basic lighting principles</w:t>
            </w:r>
          </w:p>
          <w:p w:rsidR="00000000" w:rsidRPr="00DF10C3" w:rsidP="00DF10C3">
            <w:pPr>
              <w:pStyle w:val="ListBullet"/>
            </w:pPr>
            <w:r w:rsidRPr="00DF10C3">
              <w:t xml:space="preserve">types and function of poles/columns and outreach arms </w:t>
            </w:r>
          </w:p>
          <w:p w:rsidR="00000000" w:rsidRPr="00DF10C3" w:rsidP="00DF10C3">
            <w:pPr>
              <w:pStyle w:val="ListBullet"/>
            </w:pPr>
            <w:r w:rsidRPr="00DF10C3">
              <w:t>types, function and operation of luminaires/lamps</w:t>
            </w:r>
          </w:p>
          <w:p w:rsidR="00000000" w:rsidRPr="00DF10C3" w:rsidP="00DF10C3">
            <w:pPr>
              <w:pStyle w:val="ListBullet"/>
            </w:pPr>
            <w:r w:rsidRPr="00DF10C3">
              <w:t>types, function and operation of control equipment</w:t>
            </w:r>
          </w:p>
          <w:p w:rsidR="00000000" w:rsidRPr="00DF10C3" w:rsidP="00DF10C3">
            <w:pPr>
              <w:pStyle w:val="ListBullet"/>
            </w:pPr>
            <w:r w:rsidRPr="00DF10C3">
              <w:t xml:space="preserve">controlling and switching of public lighting </w:t>
            </w:r>
          </w:p>
          <w:p w:rsidR="00000000" w:rsidRPr="00DF10C3" w:rsidP="00DF10C3">
            <w:pPr>
              <w:pStyle w:val="ListBullet"/>
            </w:pPr>
            <w:r w:rsidRPr="00DF10C3">
              <w:t>maintenance of public lighting, including:</w:t>
            </w:r>
          </w:p>
          <w:p w:rsidR="00000000" w:rsidRPr="00DF10C3" w:rsidP="00DF10C3">
            <w:pPr>
              <w:pStyle w:val="ListBullet2"/>
            </w:pPr>
            <w:r w:rsidRPr="00DF10C3">
              <w:t>types of faults and causes</w:t>
            </w:r>
          </w:p>
          <w:p w:rsidR="00000000" w:rsidRPr="00DF10C3" w:rsidP="00DF10C3">
            <w:pPr>
              <w:pStyle w:val="ListBullet2"/>
            </w:pPr>
            <w:r w:rsidRPr="00DF10C3">
              <w:t>repairing and replacing poles/columns, hardware and control equipment</w:t>
            </w:r>
          </w:p>
          <w:p w:rsidR="00000000" w:rsidRPr="00DF10C3" w:rsidP="00DF10C3">
            <w:pPr>
              <w:pStyle w:val="ListBullet2"/>
            </w:pPr>
            <w:r w:rsidRPr="00DF10C3">
              <w:t>cleaning hardware.</w:t>
            </w:r>
          </w:p>
        </w:tc>
      </w:tr>
    </w:tbl>
    <w:p w:rsidR="00000000" w:rsidRPr="00DF10C3" w:rsidP="00DF10C3">
      <w:pPr>
        <w:pStyle w:val="NoPaddingFontSize1"/>
      </w:pPr>
    </w:p>
    <w:p w:rsidR="00000000" w:rsidRPr="00DF10C3" w:rsidP="00DF10C3">
      <w:pPr>
        <w:pStyle w:val="AllowPageBreak"/>
      </w:pPr>
    </w:p>
    <w:p w:rsidR="00000000" w:rsidRPr="00DF10C3" w:rsidP="00DF10C3">
      <w:pPr>
        <w:pStyle w:val="Heading1"/>
      </w:pPr>
      <w:bookmarkStart w:id="4" w:name="O_1178371"/>
      <w:bookmarkEnd w:id="4"/>
      <w:r w:rsidRPr="00DF10C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10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0C3" w:rsidP="00DF10C3">
            <w:pPr>
              <w:pStyle w:val="BodyText"/>
            </w:pPr>
            <w:r w:rsidRPr="00DF10C3">
              <w:t>Assessors must hold credentials specified within the Standards for Registered Training Organisations current at the time of assessment.</w:t>
            </w:r>
          </w:p>
          <w:p w:rsidR="00000000" w:rsidRPr="00DF10C3" w:rsidP="00DF10C3">
            <w:pPr>
              <w:pStyle w:val="BodyText"/>
            </w:pPr>
            <w:r w:rsidRPr="00DF10C3">
              <w:t>Assessment must satisfy the Principles of Assessment and Rules of Evidence and all regulatory requirements included with</w:t>
            </w:r>
            <w:r w:rsidRPr="00DF10C3">
              <w:t>in the Standards for Registered Training Organisations current at the time of assessment.</w:t>
            </w:r>
          </w:p>
          <w:p w:rsidR="00000000" w:rsidRPr="00DF10C3" w:rsidP="00DF10C3">
            <w:pPr>
              <w:pStyle w:val="BodyText"/>
            </w:pPr>
            <w:r w:rsidRPr="00DF10C3">
              <w:t xml:space="preserve">Assessment must occur in workplace operational situations, where it is appropriate to do so. </w:t>
            </w:r>
          </w:p>
          <w:p w:rsidR="00000000" w:rsidRPr="00DF10C3" w:rsidP="00DF10C3">
            <w:pPr>
              <w:pStyle w:val="BodyText"/>
            </w:pPr>
            <w:r w:rsidRPr="00DF10C3">
              <w:t>Where this is not appropriate, assessment must occur in simulated condit</w:t>
            </w:r>
            <w:r w:rsidRPr="00DF10C3">
              <w:t>ions involving realistic and authentic activities that replicate operational workplace conditions.</w:t>
            </w:r>
          </w:p>
          <w:p w:rsidR="00000000" w:rsidRPr="00DF10C3" w:rsidP="00DF10C3">
            <w:pPr>
              <w:pStyle w:val="BodyText"/>
            </w:pPr>
            <w:r w:rsidRPr="00DF10C3">
              <w:t xml:space="preserve">Assessment processes and techniques must be appropriate to the language, literacy and numeracy requirements of the work being performed and the needs of the </w:t>
            </w:r>
            <w:r w:rsidRPr="00DF10C3">
              <w:t>candidate.</w:t>
            </w:r>
          </w:p>
          <w:p w:rsidR="00000000" w:rsidRPr="00DF10C3" w:rsidP="00DF10C3">
            <w:pPr>
              <w:pStyle w:val="BodyText"/>
            </w:pPr>
            <w:r w:rsidRPr="00DF10C3">
              <w:t>Resources for assessment must include access to:</w:t>
            </w:r>
          </w:p>
          <w:p w:rsidR="00000000" w:rsidRPr="00DF10C3" w:rsidP="00DF10C3">
            <w:pPr>
              <w:pStyle w:val="ListBullet"/>
            </w:pPr>
            <w:r w:rsidRPr="00DF10C3">
              <w:t>relevant and appropriate materials, tools, facilities, equipment and PPE currently used in industry for installing and maintaining underground public lighting.</w:t>
            </w:r>
          </w:p>
          <w:p w:rsidR="00000000" w:rsidRPr="00DF10C3" w:rsidP="00DF10C3">
            <w:pPr>
              <w:pStyle w:val="ListBullet"/>
            </w:pPr>
            <w:r w:rsidRPr="00DF10C3">
              <w:t>applicable documentation, including</w:t>
            </w:r>
            <w:r w:rsidRPr="00DF10C3">
              <w:t xml:space="preserve"> workplace requirements, relevant industry standards, equipment specifications, regulations, codes of practice and operation manuals.</w:t>
            </w:r>
          </w:p>
        </w:tc>
      </w:tr>
    </w:tbl>
    <w:p w:rsidR="00000000" w:rsidRPr="00DF10C3" w:rsidP="00DF10C3">
      <w:pPr>
        <w:pStyle w:val="NoPaddingFontSize1"/>
      </w:pPr>
    </w:p>
    <w:p w:rsidR="00000000" w:rsidRPr="00DF10C3" w:rsidP="00DF10C3">
      <w:pPr>
        <w:pStyle w:val="AllowPageBreak"/>
      </w:pPr>
    </w:p>
    <w:p w:rsidR="00000000" w:rsidRPr="00DF10C3" w:rsidP="00DF10C3">
      <w:pPr>
        <w:pStyle w:val="Heading1"/>
      </w:pPr>
      <w:bookmarkStart w:id="5" w:name="O_1178374"/>
      <w:bookmarkEnd w:id="5"/>
      <w:r w:rsidRPr="00DF10C3">
        <w:t>Links</w:t>
      </w:r>
    </w:p>
    <w:p w:rsidR="00000000" w:rsidRPr="00DF10C3" w:rsidP="00A13FF5">
      <w:pPr>
        <w:pStyle w:val="BodyText"/>
      </w:pPr>
      <w:r w:rsidRPr="00DF10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45E1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F10C3" w:rsidP="00DF10C3"/>
    <w:sectPr w:rsidSect="00DF10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C3" w:rsidRPr="00A13FF5" w:rsidP="00A13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F5" w:rsidP="00DF1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FF5" w:rsidP="00DF1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3FF5" w:rsidP="00DF1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0C3" w:rsidRPr="00A13FF5" w:rsidP="00A13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F5" w:rsidRPr="002D2AF8" w:rsidP="00DF1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UETDRDU007 Install and maintain underground public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13FF5" w:rsidP="00DF1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F29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064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6A6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0C3"/>
  </w:style>
  <w:style w:type="character" w:customStyle="1" w:styleId="Heading1Char">
    <w:name w:val="Heading 1 Char"/>
    <w:basedOn w:val="DefaultParagraphFont"/>
    <w:link w:val="Heading1"/>
    <w:rsid w:val="00DF1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0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0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10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1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1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0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0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10C3"/>
    <w:rPr>
      <w:b/>
      <w:spacing w:val="0"/>
    </w:rPr>
  </w:style>
  <w:style w:type="paragraph" w:customStyle="1" w:styleId="SuperTitle">
    <w:name w:val="SuperTitle"/>
    <w:basedOn w:val="Title"/>
    <w:rsid w:val="00DF1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1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0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10C3"/>
    <w:rPr>
      <w:i/>
    </w:rPr>
  </w:style>
  <w:style w:type="paragraph" w:styleId="Caption">
    <w:name w:val="caption"/>
    <w:basedOn w:val="BodyText"/>
    <w:next w:val="Normal"/>
    <w:qFormat/>
    <w:rsid w:val="00DF1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0C3"/>
  </w:style>
  <w:style w:type="paragraph" w:styleId="TableofFigures">
    <w:name w:val="table of figures"/>
    <w:basedOn w:val="Normal"/>
    <w:next w:val="Normal"/>
    <w:semiHidden/>
    <w:rsid w:val="00DF1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0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10C3"/>
    <w:rPr>
      <w:rFonts w:ascii="Wingdings" w:hAnsi="Wingdings"/>
    </w:rPr>
  </w:style>
  <w:style w:type="paragraph" w:customStyle="1" w:styleId="TableHeading">
    <w:name w:val="Table Heading"/>
    <w:basedOn w:val="HeadingBase"/>
    <w:rsid w:val="00DF1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0C3"/>
    <w:rPr>
      <w:color w:val="0033CC"/>
      <w:u w:val="none"/>
    </w:rPr>
  </w:style>
  <w:style w:type="paragraph" w:customStyle="1" w:styleId="BodyTextRight">
    <w:name w:val="Body Text Right"/>
    <w:basedOn w:val="BodyText"/>
    <w:rsid w:val="00DF1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0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0C3"/>
    <w:rPr>
      <w:sz w:val="32"/>
    </w:rPr>
  </w:style>
  <w:style w:type="paragraph" w:customStyle="1" w:styleId="HeadingProcedure">
    <w:name w:val="Heading Procedure"/>
    <w:basedOn w:val="HeadingBase"/>
    <w:next w:val="Normal"/>
    <w:rsid w:val="00DF1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0C3"/>
    <w:pPr>
      <w:spacing w:before="60" w:after="60"/>
    </w:pPr>
  </w:style>
  <w:style w:type="paragraph" w:styleId="ListContinue">
    <w:name w:val="List Continue"/>
    <w:basedOn w:val="List"/>
    <w:rsid w:val="00DF10C3"/>
    <w:pPr>
      <w:ind w:firstLine="0"/>
    </w:pPr>
  </w:style>
  <w:style w:type="paragraph" w:customStyle="1" w:styleId="ListNote">
    <w:name w:val="List Note"/>
    <w:basedOn w:val="List"/>
    <w:rsid w:val="00DF1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0C3"/>
    <w:rPr>
      <w:rFonts w:ascii="Courier New" w:hAnsi="Courier New"/>
    </w:rPr>
  </w:style>
  <w:style w:type="paragraph" w:customStyle="1" w:styleId="NoteBullet">
    <w:name w:val="Note Bullet"/>
    <w:basedOn w:val="Note"/>
    <w:rsid w:val="00DF1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0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1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0C3"/>
    <w:rPr>
      <w:b/>
      <w:smallCaps/>
    </w:rPr>
  </w:style>
  <w:style w:type="paragraph" w:customStyle="1" w:styleId="TableListNumber">
    <w:name w:val="Table List Number"/>
    <w:basedOn w:val="ListNumber"/>
    <w:rsid w:val="00DF1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0C3"/>
    <w:pPr>
      <w:numPr>
        <w:numId w:val="9"/>
      </w:numPr>
    </w:pPr>
  </w:style>
  <w:style w:type="paragraph" w:customStyle="1" w:styleId="ListAlpha2">
    <w:name w:val="List Alpha 2"/>
    <w:basedOn w:val="List2"/>
    <w:rsid w:val="00DF10C3"/>
    <w:pPr>
      <w:numPr>
        <w:numId w:val="8"/>
      </w:numPr>
    </w:pPr>
  </w:style>
  <w:style w:type="paragraph" w:styleId="List2">
    <w:name w:val="List 2"/>
    <w:basedOn w:val="BodyText"/>
    <w:rsid w:val="00DF1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0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0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10C3"/>
    <w:pPr>
      <w:numPr>
        <w:numId w:val="4"/>
      </w:numPr>
    </w:pPr>
  </w:style>
  <w:style w:type="paragraph" w:styleId="ListContinue2">
    <w:name w:val="List Continue 2"/>
    <w:basedOn w:val="List2"/>
    <w:rsid w:val="00DF10C3"/>
    <w:pPr>
      <w:ind w:firstLine="0"/>
    </w:pPr>
  </w:style>
  <w:style w:type="paragraph" w:styleId="ListContinue3">
    <w:name w:val="List Continue 3"/>
    <w:basedOn w:val="List3"/>
    <w:rsid w:val="00DF10C3"/>
    <w:pPr>
      <w:ind w:left="1021" w:firstLine="0"/>
    </w:pPr>
  </w:style>
  <w:style w:type="paragraph" w:styleId="ListContinue4">
    <w:name w:val="List Continue 4"/>
    <w:basedOn w:val="List4"/>
    <w:rsid w:val="00DF10C3"/>
    <w:pPr>
      <w:ind w:firstLine="0"/>
    </w:pPr>
  </w:style>
  <w:style w:type="paragraph" w:styleId="ListContinue5">
    <w:name w:val="List Continue 5"/>
    <w:basedOn w:val="List5"/>
    <w:rsid w:val="00DF10C3"/>
    <w:pPr>
      <w:ind w:firstLine="0"/>
    </w:pPr>
  </w:style>
  <w:style w:type="paragraph" w:styleId="ListNumber3">
    <w:name w:val="List Number 3"/>
    <w:basedOn w:val="List3"/>
    <w:rsid w:val="00DF10C3"/>
    <w:pPr>
      <w:numPr>
        <w:numId w:val="5"/>
      </w:numPr>
    </w:pPr>
  </w:style>
  <w:style w:type="paragraph" w:styleId="ListNumber4">
    <w:name w:val="List Number 4"/>
    <w:basedOn w:val="List4"/>
    <w:rsid w:val="00DF10C3"/>
    <w:pPr>
      <w:numPr>
        <w:numId w:val="6"/>
      </w:numPr>
    </w:pPr>
  </w:style>
  <w:style w:type="paragraph" w:styleId="ListNumber5">
    <w:name w:val="List Number 5"/>
    <w:basedOn w:val="List5"/>
    <w:rsid w:val="00DF10C3"/>
    <w:pPr>
      <w:numPr>
        <w:numId w:val="7"/>
      </w:numPr>
    </w:pPr>
  </w:style>
  <w:style w:type="paragraph" w:styleId="BlockText">
    <w:name w:val="Block Text"/>
    <w:basedOn w:val="Normal"/>
    <w:rsid w:val="00DF1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0C3"/>
    <w:rPr>
      <w:sz w:val="16"/>
      <w:vertAlign w:val="superscript"/>
    </w:rPr>
  </w:style>
  <w:style w:type="character" w:customStyle="1" w:styleId="Symbols">
    <w:name w:val="Symbols"/>
    <w:basedOn w:val="DefaultParagraphFont"/>
    <w:rsid w:val="00DF10C3"/>
    <w:rPr>
      <w:rFonts w:ascii="Symbol" w:hAnsi="Symbol"/>
    </w:rPr>
  </w:style>
  <w:style w:type="character" w:customStyle="1" w:styleId="MenuOptions">
    <w:name w:val="Menu Options"/>
    <w:basedOn w:val="DefaultParagraphFont"/>
    <w:rsid w:val="00DF1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0C3"/>
    <w:rPr>
      <w:b/>
    </w:rPr>
  </w:style>
  <w:style w:type="character" w:customStyle="1" w:styleId="Underlined">
    <w:name w:val="Underlined"/>
    <w:basedOn w:val="DefaultParagraphFont"/>
    <w:rsid w:val="00DF10C3"/>
    <w:rPr>
      <w:u w:val="single"/>
    </w:rPr>
  </w:style>
  <w:style w:type="paragraph" w:customStyle="1" w:styleId="TableBodyTextRight">
    <w:name w:val="Table Body Text Right"/>
    <w:basedOn w:val="TableBodyText"/>
    <w:rsid w:val="00DF1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0C3"/>
    <w:rPr>
      <w:sz w:val="18"/>
    </w:rPr>
  </w:style>
  <w:style w:type="paragraph" w:customStyle="1" w:styleId="BodySmallRight">
    <w:name w:val="Body Small Right"/>
    <w:basedOn w:val="BodyTextRight"/>
    <w:rsid w:val="00DF10C3"/>
    <w:rPr>
      <w:sz w:val="18"/>
      <w:szCs w:val="18"/>
    </w:rPr>
  </w:style>
  <w:style w:type="paragraph" w:customStyle="1" w:styleId="MarginEdition">
    <w:name w:val="Margin Edition"/>
    <w:basedOn w:val="MarginNote"/>
    <w:rsid w:val="00DF1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0C3"/>
    <w:rPr>
      <w:sz w:val="2"/>
      <w:szCs w:val="2"/>
    </w:rPr>
  </w:style>
  <w:style w:type="character" w:customStyle="1" w:styleId="Small">
    <w:name w:val="Small"/>
    <w:basedOn w:val="DefaultParagraphFont"/>
    <w:rsid w:val="00DF10C3"/>
    <w:rPr>
      <w:sz w:val="16"/>
    </w:rPr>
  </w:style>
  <w:style w:type="paragraph" w:customStyle="1" w:styleId="WideTable">
    <w:name w:val="Wide Table"/>
    <w:basedOn w:val="Normal"/>
    <w:rsid w:val="00DF1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0C3"/>
  </w:style>
  <w:style w:type="paragraph" w:styleId="Quote">
    <w:name w:val="Quote"/>
    <w:basedOn w:val="Heading1"/>
    <w:link w:val="QuoteChar"/>
    <w:qFormat/>
    <w:rsid w:val="00DF1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0C3"/>
    <w:pPr>
      <w:pageBreakBefore/>
    </w:pPr>
  </w:style>
  <w:style w:type="paragraph" w:customStyle="1" w:styleId="Border">
    <w:name w:val="Border"/>
    <w:basedOn w:val="Normal"/>
    <w:qFormat/>
    <w:rsid w:val="00DF1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0C3"/>
    <w:rPr>
      <w:u w:val="single"/>
    </w:rPr>
  </w:style>
  <w:style w:type="character" w:customStyle="1" w:styleId="BoldandItalics">
    <w:name w:val="Bold and Italics"/>
    <w:qFormat/>
    <w:rsid w:val="00DF10C3"/>
    <w:rPr>
      <w:b/>
      <w:i/>
      <w:u w:val="none"/>
    </w:rPr>
  </w:style>
  <w:style w:type="paragraph" w:styleId="BalloonText">
    <w:name w:val="Balloon Text"/>
    <w:basedOn w:val="Normal"/>
    <w:link w:val="BalloonTextChar"/>
    <w:rsid w:val="00DF1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0C3"/>
    <w:pPr>
      <w:spacing w:before="0" w:after="0"/>
    </w:pPr>
  </w:style>
  <w:style w:type="paragraph" w:customStyle="1" w:styleId="BodyTextBold">
    <w:name w:val="Body Text Bold"/>
    <w:basedOn w:val="BodyText"/>
    <w:qFormat/>
    <w:rsid w:val="00DF10C3"/>
    <w:rPr>
      <w:b/>
    </w:rPr>
  </w:style>
  <w:style w:type="character" w:styleId="Hyperlink">
    <w:name w:val="Hyperlink"/>
    <w:basedOn w:val="DefaultParagraphFont"/>
    <w:uiPriority w:val="99"/>
    <w:unhideWhenUsed/>
    <w:rsid w:val="00A13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4120</Characters>
  <Application>Microsoft Office Word</Application>
  <DocSecurity>0</DocSecurity>
  <Lines>111</Lines>
  <Paragraphs>92</Paragraphs>
  <ScaleCrop>false</ScaleCrop>
  <Company>Author-it Software Corporation Ltd.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UETDRDU007 Install and maintain underground public lighting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