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E15" w:rsidP="005F6E15">
      <w:pPr>
        <w:pStyle w:val="Title"/>
      </w:pPr>
      <w:r>
        <w:fldChar w:fldCharType="begin"/>
      </w:r>
      <w:r>
        <w:instrText xml:space="preserve"> TITLE   \* MERGEFORMAT </w:instrText>
      </w:r>
      <w:r>
        <w:fldChar w:fldCharType="separate"/>
      </w:r>
      <w:r>
        <w:t>UETDRDU002 Inspect underground electrical apparatus</w:t>
      </w:r>
      <w:r>
        <w:fldChar w:fldCharType="end"/>
      </w:r>
    </w:p>
    <w:p w:rsidR="005F6E15" w:rsidP="005F6E15">
      <w:pPr>
        <w:pStyle w:val="Version"/>
        <w:sectPr w:rsidSect="00231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68E" w:rsidP="0023168E">
      <w:pPr>
        <w:pStyle w:val="SuperHeading"/>
      </w:pPr>
      <w:r w:rsidRPr="0023168E">
        <w:t>UETDRDU002 Inspect underground electrical apparatus</w:t>
      </w:r>
    </w:p>
    <w:p w:rsidR="00000000" w:rsidRPr="0023168E" w:rsidP="0023168E">
      <w:pPr>
        <w:pStyle w:val="Heading1"/>
      </w:pPr>
      <w:bookmarkStart w:id="1" w:name="O_1178130"/>
      <w:bookmarkEnd w:id="1"/>
      <w:r w:rsidRPr="0023168E">
        <w:t>Modification History</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Release 1. This is the first release of this unit of competency in the UET Transmission, Distribution and Rail Sector Training Package.</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2" w:name="O_1178131"/>
      <w:bookmarkEnd w:id="2"/>
      <w:r w:rsidRPr="0023168E">
        <w:t>Application</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This unit involves the skills and knowledge required to i</w:t>
            </w:r>
            <w:r w:rsidRPr="0023168E">
              <w:t>nspect underground electrical apparatus in the electricity supply industry (ESI).</w:t>
            </w:r>
          </w:p>
          <w:p w:rsidR="00000000" w:rsidRPr="0023168E" w:rsidP="0023168E">
            <w:pPr>
              <w:pStyle w:val="BodyText"/>
            </w:pPr>
            <w:r w:rsidRPr="0023168E">
              <w:t>It includes visually inspecting and identifying defective, damaged or faulty electrical apparatus and reporting inspection outcomes.</w:t>
            </w:r>
          </w:p>
          <w:p w:rsidR="00000000" w:rsidRPr="0023168E" w:rsidP="0023168E">
            <w:pPr>
              <w:pStyle w:val="BodyText"/>
            </w:pPr>
            <w:r w:rsidRPr="0023168E">
              <w:t>It also includes determing the cause of d</w:t>
            </w:r>
            <w:r w:rsidRPr="0023168E">
              <w:t>efective, damaged or faulty electrical apparatus.</w:t>
            </w:r>
          </w:p>
          <w:p w:rsidR="00000000" w:rsidRPr="0023168E" w:rsidP="0023168E">
            <w:pPr>
              <w:pStyle w:val="BodyText"/>
            </w:pPr>
            <w:r w:rsidRPr="0023168E">
              <w:t>The application of the skills and knowledge described in this unit may require a licence/registration to practice in the workplace.</w:t>
            </w:r>
          </w:p>
          <w:p w:rsidR="00000000" w:rsidRPr="0023168E" w:rsidP="0023168E">
            <w:pPr>
              <w:pStyle w:val="BodyText"/>
            </w:pPr>
            <w:r w:rsidRPr="0023168E">
              <w:t xml:space="preserve">Other conditions may also apply under state and territory legislative and </w:t>
            </w:r>
            <w:r w:rsidRPr="0023168E">
              <w:t>regulatory licensing requirements which must be confirmed prior to commencing this unit.</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3" w:name="O_1178132"/>
      <w:bookmarkEnd w:id="3"/>
      <w:r w:rsidRPr="0023168E">
        <w:t>Pre-requisite Unit</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UEECD0007 Apply work health and safety regulations, codes and practices in the workplace</w:t>
            </w:r>
          </w:p>
          <w:p w:rsidR="00000000" w:rsidRPr="0023168E" w:rsidP="0023168E">
            <w:pPr>
              <w:pStyle w:val="BodyText"/>
            </w:pPr>
            <w:r w:rsidRPr="0023168E">
              <w:t>and</w:t>
            </w:r>
          </w:p>
          <w:p w:rsidR="00000000" w:rsidRPr="0023168E" w:rsidP="0023168E">
            <w:pPr>
              <w:pStyle w:val="BodyText"/>
            </w:pPr>
            <w:r w:rsidRPr="0023168E">
              <w:t>UETDREL005 Work safely in the vici</w:t>
            </w:r>
            <w:r w:rsidRPr="0023168E">
              <w:t>nity of live electrical apparatus</w:t>
            </w:r>
          </w:p>
          <w:p w:rsidR="00000000" w:rsidRPr="0023168E" w:rsidP="0023168E">
            <w:pPr>
              <w:pStyle w:val="BodyText"/>
            </w:pPr>
            <w:r w:rsidRPr="0023168E">
              <w:t>or</w:t>
            </w:r>
          </w:p>
          <w:p w:rsidR="00000000" w:rsidRPr="0023168E" w:rsidP="0023168E">
            <w:pPr>
              <w:pStyle w:val="BodyText"/>
            </w:pPr>
            <w:r w:rsidRPr="0023168E">
              <w:t>UETDREL006 Work safely in the vicinity of live electrical apparatus as a non-electrical worker</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4" w:name="O_1178133"/>
      <w:bookmarkEnd w:id="4"/>
      <w:r w:rsidRPr="0023168E">
        <w:t>Competency Field</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Distribution Underground</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5" w:name="O_1178134"/>
      <w:bookmarkEnd w:id="5"/>
      <w:r w:rsidRPr="0023168E">
        <w:t>Unit Sector</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Not applicable.</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6" w:name="O_1178135"/>
      <w:bookmarkEnd w:id="6"/>
      <w:r w:rsidRPr="0023168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3168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PERFORMANCE CRITERIA</w:t>
            </w:r>
          </w:p>
        </w:tc>
      </w:tr>
      <w:tr w:rsidTr="0023168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Performance criteria describe the performance needed to demonstrate achievement of the element.</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Prepare to inspect underground electrical apparatus</w:t>
            </w: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Legislation, regulations, standards, codes of practice and organisational workplace requirements for the work to be performed are referred to and confirmed</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Work plan is obtained and confirmed i</w:t>
            </w:r>
            <w:r w:rsidRPr="0023168E">
              <w:t>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Tools, equipment and personal protective equipment (PPE) required for work are determined, obtained and confirmed in working order</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Hazards are identified, risks assessed and control measures identified and applied</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 xml:space="preserve">Work is prioritised and sequenced for completion in accordance with work plan and workplace requirements </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Liaison and communication with stakeholders is carrie</w:t>
            </w:r>
            <w:r w:rsidRPr="0023168E">
              <w:t>d out in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Worksite is prepared in accordance with the work plan and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Traffic management plan is confirmed as being in place in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 xml:space="preserve">Carry out inspection of underground electrical apparatus  </w:t>
            </w: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 xml:space="preserve">Legislation, regulations, standards, codes of practice and organisational workplace requirements for the work to be performed are applied and monitored </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The use of tools, equipment and P</w:t>
            </w:r>
            <w:r w:rsidRPr="0023168E">
              <w:t>PE are carried out in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Hazard control measures are monitored in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Underground electrical apparatus is visually inspected in accordance with work plan and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Underground electrical apparatus defect or damage is identified in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Underground electrical ap</w:t>
            </w:r>
            <w:r w:rsidRPr="0023168E">
              <w:t>paratus defect or damage cause is determined</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 xml:space="preserve">Incidents or unplanned events are responded to in </w:t>
            </w:r>
            <w:r w:rsidRPr="0023168E">
              <w:t>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Completed work is check</w:t>
            </w:r>
            <w:r w:rsidRPr="0023168E">
              <w:t>ed for compliance against the work plan and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Incidents or unplanned events are reported in accordance with workplace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Tools and equipment are cleaned, checked and returned to storage in accordance with workpl</w:t>
            </w:r>
            <w:r w:rsidRPr="0023168E">
              <w:t>ace requirements</w:t>
            </w:r>
          </w:p>
        </w:tc>
      </w:tr>
      <w:tr w:rsidTr="0023168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3168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Work records, reports and documentation are completed in accordance with workplace requirements</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7" w:name="O_1178136"/>
      <w:bookmarkEnd w:id="7"/>
      <w:r w:rsidRPr="0023168E">
        <w:t>Foundation Skills</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Foundation skills essential to performance are explicit in the performance criteria of this unit of competency.</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8" w:name="O_1178137"/>
      <w:bookmarkEnd w:id="8"/>
      <w:r w:rsidRPr="0023168E">
        <w:t>Range of Conditions</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Range is restricted to essential operating conditions and any other variables essential to the work env</w:t>
            </w:r>
            <w:r w:rsidRPr="0023168E">
              <w:t>ironment.</w:t>
            </w:r>
          </w:p>
          <w:p w:rsidR="00000000" w:rsidRPr="0023168E" w:rsidP="0023168E">
            <w:pPr>
              <w:pStyle w:val="BodyText"/>
            </w:pPr>
            <w:r w:rsidRPr="0023168E">
              <w:t>Non-essential conditions may be found in the UET Transmission, Distribution and Rail Sector Training Package Companion Volume Implementation Guide.</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9" w:name="O_1178138"/>
      <w:bookmarkEnd w:id="9"/>
      <w:r w:rsidRPr="0023168E">
        <w:t>Unit Mapping Information</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This is a new unit. No Equivalent Unit.</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10" w:name="O_1178145"/>
      <w:bookmarkEnd w:id="10"/>
      <w:r w:rsidRPr="0023168E">
        <w:t>Links</w:t>
      </w:r>
    </w:p>
    <w:p w:rsidR="00000000" w:rsidRPr="0023168E" w:rsidP="005F6E15">
      <w:pPr>
        <w:pStyle w:val="BodyText"/>
      </w:pPr>
      <w:r w:rsidRPr="0023168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840CE">
        <w:rPr>
          <w:rStyle w:val="Hyperlink"/>
        </w:rPr>
        <w:t>https://vetnet.gov.au/Pages/TrainingDocs.aspx?q=229bace1-b7bc-4653-9300-dffb13ecfad7</w:t>
      </w:r>
      <w:r>
        <w:fldChar w:fldCharType="end"/>
      </w:r>
    </w:p>
    <w:p w:rsidR="00000000" w:rsidRPr="0023168E" w:rsidP="005F6E15">
      <w:pPr>
        <w:pStyle w:val="BodyText"/>
        <w:sectPr w:rsidSect="0023168E">
          <w:headerReference w:type="default" r:id="rId10"/>
          <w:footerReference w:type="default" r:id="rId11"/>
          <w:pgSz w:w="11908" w:h="16833"/>
          <w:pgMar w:top="1702" w:right="1418" w:bottom="1702" w:left="1418" w:header="992" w:footer="992" w:gutter="0"/>
          <w:cols w:space="720"/>
          <w:noEndnote/>
          <w:docGrid w:linePitch="299"/>
        </w:sectPr>
      </w:pPr>
    </w:p>
    <w:p w:rsidR="00000000" w:rsidRPr="0023168E" w:rsidP="0023168E">
      <w:pPr>
        <w:pStyle w:val="SuperHeading"/>
      </w:pPr>
      <w:r w:rsidRPr="0023168E">
        <w:t xml:space="preserve">Assessment </w:t>
      </w:r>
      <w:r w:rsidRPr="0023168E">
        <w:t>Requirements for UETDRDU002 Inspect underground electrical apparatus</w:t>
      </w:r>
    </w:p>
    <w:p w:rsidR="00000000" w:rsidRPr="0023168E" w:rsidP="0023168E">
      <w:pPr>
        <w:pStyle w:val="Heading1"/>
      </w:pPr>
      <w:bookmarkStart w:id="11" w:name="O_1178140"/>
      <w:bookmarkEnd w:id="11"/>
      <w:r w:rsidRPr="0023168E">
        <w:t>Modification History</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Release 1. This is the first release of this unit of competency in the UET Transmission, Distribution and Rail Sector Training Package.</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12" w:name="O_1178141"/>
      <w:bookmarkEnd w:id="12"/>
      <w:r w:rsidRPr="0023168E">
        <w:t>Performance Evidence</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 xml:space="preserve">Evidence required to demonstrate competence in this unit must be relevant to and satisfy all of the requirements of the elements and performance criteria on at least two separate occasions and include:  </w:t>
            </w:r>
          </w:p>
        </w:tc>
      </w:tr>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ListBullet"/>
            </w:pPr>
            <w:r w:rsidRPr="0023168E">
              <w:t>applying relevant le</w:t>
            </w:r>
            <w:r w:rsidRPr="0023168E">
              <w:t>gislation, regulations, standards, codes of practice and organisational workplace requirements, including:</w:t>
            </w:r>
          </w:p>
          <w:p w:rsidR="00000000" w:rsidRPr="0023168E" w:rsidP="0023168E">
            <w:pPr>
              <w:pStyle w:val="ListBullet2"/>
            </w:pPr>
            <w:r w:rsidRPr="0023168E">
              <w:t xml:space="preserve">work health and safety (WHS)/occupational health and safety (OHS) </w:t>
            </w:r>
          </w:p>
          <w:p w:rsidR="00000000" w:rsidRPr="0023168E" w:rsidP="0023168E">
            <w:pPr>
              <w:pStyle w:val="ListBullet"/>
            </w:pPr>
            <w:r w:rsidRPr="0023168E">
              <w:t>identifying hazards, ass</w:t>
            </w:r>
            <w:r w:rsidRPr="0023168E">
              <w:t>essing risks, identifying, applying and monitoring control measures</w:t>
            </w:r>
          </w:p>
          <w:p w:rsidR="00000000" w:rsidRPr="0023168E" w:rsidP="0023168E">
            <w:pPr>
              <w:pStyle w:val="ListBullet"/>
            </w:pPr>
            <w:r w:rsidRPr="0023168E">
              <w:t>obtaining, inspecting and using relevant personal protective equipment (PPE)</w:t>
            </w:r>
          </w:p>
          <w:p w:rsidR="00000000" w:rsidRPr="0023168E" w:rsidP="0023168E">
            <w:pPr>
              <w:pStyle w:val="ListBullet"/>
            </w:pPr>
            <w:r w:rsidRPr="0023168E">
              <w:t>inspecting underground electrical apparatus, including:</w:t>
            </w:r>
          </w:p>
          <w:p w:rsidR="00000000" w:rsidRPr="0023168E" w:rsidP="0023168E">
            <w:pPr>
              <w:pStyle w:val="ListBullet2"/>
            </w:pPr>
            <w:r w:rsidRPr="0023168E">
              <w:t>transformers</w:t>
            </w:r>
          </w:p>
          <w:p w:rsidR="00000000" w:rsidRPr="0023168E" w:rsidP="0023168E">
            <w:pPr>
              <w:pStyle w:val="ListBullet2"/>
            </w:pPr>
            <w:r w:rsidRPr="0023168E">
              <w:t>switchgear</w:t>
            </w:r>
          </w:p>
          <w:p w:rsidR="00000000" w:rsidRPr="0023168E" w:rsidP="0023168E">
            <w:pPr>
              <w:pStyle w:val="ListBullet2"/>
            </w:pPr>
            <w:r w:rsidRPr="0023168E">
              <w:t>pole mounted cable and cable t</w:t>
            </w:r>
            <w:r w:rsidRPr="0023168E">
              <w:t>erminations</w:t>
            </w:r>
          </w:p>
          <w:p w:rsidR="00000000" w:rsidRPr="0023168E" w:rsidP="0023168E">
            <w:pPr>
              <w:pStyle w:val="ListBullet2"/>
            </w:pPr>
            <w:r w:rsidRPr="0023168E">
              <w:t>pillars</w:t>
            </w:r>
          </w:p>
          <w:p w:rsidR="00000000" w:rsidRPr="0023168E" w:rsidP="0023168E">
            <w:pPr>
              <w:pStyle w:val="ListBullet2"/>
            </w:pPr>
            <w:r w:rsidRPr="0023168E">
              <w:t>switchboards</w:t>
            </w:r>
          </w:p>
          <w:p w:rsidR="00000000" w:rsidRPr="0023168E" w:rsidP="0023168E">
            <w:pPr>
              <w:pStyle w:val="ListBullet2"/>
            </w:pPr>
            <w:r w:rsidRPr="0023168E">
              <w:t>earthing systems</w:t>
            </w:r>
          </w:p>
          <w:p w:rsidR="00000000" w:rsidRPr="0023168E" w:rsidP="0023168E">
            <w:pPr>
              <w:pStyle w:val="ListBullet"/>
            </w:pPr>
            <w:r w:rsidRPr="0023168E">
              <w:t xml:space="preserve">identifying underground electrical apparatus defects and damage </w:t>
            </w:r>
          </w:p>
          <w:p w:rsidR="00000000" w:rsidRPr="0023168E" w:rsidP="0023168E">
            <w:pPr>
              <w:pStyle w:val="ListBullet"/>
            </w:pPr>
            <w:r w:rsidRPr="0023168E">
              <w:t>determining the cause of underground electrical apparatus defects and damage</w:t>
            </w:r>
          </w:p>
          <w:p w:rsidR="00000000" w:rsidRPr="0023168E" w:rsidP="0023168E">
            <w:pPr>
              <w:pStyle w:val="ListBullet"/>
            </w:pPr>
            <w:r w:rsidRPr="0023168E">
              <w:t>using software applications or workplace documents for:</w:t>
            </w:r>
          </w:p>
          <w:p w:rsidR="00000000" w:rsidRPr="0023168E" w:rsidP="0023168E">
            <w:pPr>
              <w:pStyle w:val="ListBullet2"/>
            </w:pPr>
            <w:r w:rsidRPr="0023168E">
              <w:t>accessing and verifying existing data</w:t>
            </w:r>
          </w:p>
          <w:p w:rsidR="00000000" w:rsidRPr="0023168E" w:rsidP="0023168E">
            <w:pPr>
              <w:pStyle w:val="ListBullet2"/>
            </w:pPr>
            <w:r w:rsidRPr="0023168E">
              <w:t>capturing or recording data</w:t>
            </w:r>
          </w:p>
          <w:p w:rsidR="00000000" w:rsidRPr="0023168E" w:rsidP="0023168E">
            <w:pPr>
              <w:pStyle w:val="ListBullet2"/>
            </w:pPr>
            <w:r w:rsidRPr="0023168E">
              <w:t>categorising and recording defects</w:t>
            </w:r>
          </w:p>
          <w:p w:rsidR="00000000" w:rsidRPr="0023168E" w:rsidP="0023168E">
            <w:pPr>
              <w:pStyle w:val="ListBullet"/>
            </w:pPr>
            <w:r w:rsidRPr="0023168E">
              <w:t>dealing with an unplanned event on at least one (1) occasion</w:t>
            </w:r>
          </w:p>
          <w:p w:rsidR="00000000" w:rsidRPr="0023168E" w:rsidP="0023168E">
            <w:pPr>
              <w:pStyle w:val="ListBullet"/>
            </w:pPr>
            <w:r w:rsidRPr="0023168E">
              <w:t>completing relevant work records, reports and documentation.</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13" w:name="O_1178142"/>
      <w:bookmarkEnd w:id="13"/>
      <w:r w:rsidRPr="0023168E">
        <w:t>Knowledge Evidence</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168E">
            <w:pPr>
              <w:pStyle w:val="BodyText"/>
              <w:rPr>
                <w:lang w:val="en-NZ"/>
              </w:rPr>
            </w:pPr>
            <w:r w:rsidRPr="0023168E">
              <w:t>Evidence required to demonstrate competence in this unit must be relevant to and satisfy all of the requirements of the elements and performance criteria and include knowledge of:</w:t>
            </w:r>
          </w:p>
        </w:tc>
      </w:tr>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ListBullet"/>
            </w:pPr>
            <w:r w:rsidRPr="0023168E">
              <w:t>legislation, regulations, standards, codes of practice,</w:t>
            </w:r>
            <w:r w:rsidRPr="0023168E">
              <w:t xml:space="preserve"> and organisational workplace requirements, including:</w:t>
            </w:r>
          </w:p>
          <w:p w:rsidR="00000000" w:rsidRPr="0023168E" w:rsidP="0023168E">
            <w:pPr>
              <w:pStyle w:val="ListBullet2"/>
            </w:pPr>
            <w:r w:rsidRPr="0023168E">
              <w:t>WHS/OHS</w:t>
            </w:r>
          </w:p>
          <w:p w:rsidR="00000000" w:rsidRPr="0023168E" w:rsidP="0023168E">
            <w:pPr>
              <w:pStyle w:val="ListBullet"/>
            </w:pPr>
            <w:r w:rsidRPr="0023168E">
              <w:t>hazard, risk assessment and risk control requirements, including potential hazards</w:t>
            </w:r>
          </w:p>
          <w:p w:rsidR="00000000" w:rsidRPr="0023168E" w:rsidP="0023168E">
            <w:pPr>
              <w:pStyle w:val="ListBullet"/>
            </w:pPr>
            <w:r w:rsidRPr="0023168E">
              <w:t>types and application of PPE</w:t>
            </w:r>
          </w:p>
          <w:p w:rsidR="00000000" w:rsidRPr="0023168E" w:rsidP="0023168E">
            <w:pPr>
              <w:pStyle w:val="ListBullet"/>
            </w:pPr>
            <w:r w:rsidRPr="0023168E">
              <w:t xml:space="preserve">safe use of tools and equipment </w:t>
            </w:r>
          </w:p>
          <w:p w:rsidR="00000000" w:rsidRPr="0023168E" w:rsidP="0023168E">
            <w:pPr>
              <w:pStyle w:val="ListBullet"/>
            </w:pPr>
            <w:r w:rsidRPr="0023168E">
              <w:t>events constituting an unplanned event or incident</w:t>
            </w:r>
          </w:p>
          <w:p w:rsidR="00000000" w:rsidRPr="0023168E" w:rsidP="0023168E">
            <w:pPr>
              <w:pStyle w:val="ListBullet"/>
            </w:pPr>
            <w:r w:rsidRPr="0023168E">
              <w:t>procedures for responding to an unplanned event or incident</w:t>
            </w:r>
          </w:p>
          <w:p w:rsidR="00000000" w:rsidRPr="0023168E" w:rsidP="0023168E">
            <w:pPr>
              <w:pStyle w:val="ListBullet"/>
            </w:pPr>
            <w:r w:rsidRPr="0023168E">
              <w:t>construction manuals, system diagrams/plans and drawings</w:t>
            </w:r>
          </w:p>
          <w:p w:rsidR="00000000" w:rsidRPr="0023168E" w:rsidP="0023168E">
            <w:pPr>
              <w:pStyle w:val="ListBullet"/>
            </w:pPr>
            <w:r w:rsidRPr="0023168E">
              <w:t>procedures for workplace records, reports and documentation</w:t>
            </w:r>
          </w:p>
          <w:p w:rsidR="00000000" w:rsidRPr="0023168E" w:rsidP="0023168E">
            <w:pPr>
              <w:pStyle w:val="ListBullet"/>
            </w:pPr>
            <w:r w:rsidRPr="0023168E">
              <w:t>types, function and operatio</w:t>
            </w:r>
            <w:r w:rsidRPr="0023168E">
              <w:t>n of underground electrical apparatus, including:</w:t>
            </w:r>
          </w:p>
          <w:p w:rsidR="00000000" w:rsidRPr="0023168E" w:rsidP="0023168E">
            <w:pPr>
              <w:pStyle w:val="ListBullet2"/>
            </w:pPr>
            <w:r w:rsidRPr="0023168E">
              <w:t>transformers</w:t>
            </w:r>
          </w:p>
          <w:p w:rsidR="00000000" w:rsidRPr="0023168E" w:rsidP="0023168E">
            <w:pPr>
              <w:pStyle w:val="ListBullet2"/>
            </w:pPr>
            <w:r w:rsidRPr="0023168E">
              <w:t>switchgear</w:t>
            </w:r>
          </w:p>
          <w:p w:rsidR="00000000" w:rsidRPr="0023168E" w:rsidP="0023168E">
            <w:pPr>
              <w:pStyle w:val="ListBullet2"/>
            </w:pPr>
            <w:r w:rsidRPr="0023168E">
              <w:t>pole mounted cable and cable terminations</w:t>
            </w:r>
          </w:p>
          <w:p w:rsidR="00000000" w:rsidRPr="0023168E" w:rsidP="0023168E">
            <w:pPr>
              <w:pStyle w:val="ListBullet2"/>
            </w:pPr>
            <w:r w:rsidRPr="0023168E">
              <w:t>pillars</w:t>
            </w:r>
          </w:p>
          <w:p w:rsidR="00000000" w:rsidRPr="0023168E" w:rsidP="0023168E">
            <w:pPr>
              <w:pStyle w:val="ListBullet2"/>
            </w:pPr>
            <w:r w:rsidRPr="0023168E">
              <w:t>switchboards</w:t>
            </w:r>
          </w:p>
          <w:p w:rsidR="00000000" w:rsidRPr="0023168E" w:rsidP="0023168E">
            <w:pPr>
              <w:pStyle w:val="ListBullet2"/>
            </w:pPr>
            <w:r w:rsidRPr="0023168E">
              <w:t>earthing systems</w:t>
            </w:r>
          </w:p>
          <w:p w:rsidR="00000000" w:rsidRPr="0023168E" w:rsidP="0023168E">
            <w:pPr>
              <w:pStyle w:val="ListBullet"/>
            </w:pPr>
            <w:r w:rsidRPr="0023168E">
              <w:t>installation requirements for underground electrical apparatus, including:</w:t>
            </w:r>
          </w:p>
          <w:p w:rsidR="00000000" w:rsidRPr="0023168E" w:rsidP="0023168E">
            <w:pPr>
              <w:pStyle w:val="ListBullet2"/>
            </w:pPr>
            <w:r w:rsidRPr="0023168E">
              <w:t>construction</w:t>
            </w:r>
          </w:p>
          <w:p w:rsidR="00000000" w:rsidRPr="0023168E" w:rsidP="0023168E">
            <w:pPr>
              <w:pStyle w:val="ListBullet2"/>
            </w:pPr>
            <w:r w:rsidRPr="0023168E">
              <w:t>connection</w:t>
            </w:r>
          </w:p>
          <w:p w:rsidR="00000000" w:rsidRPr="0023168E" w:rsidP="0023168E">
            <w:pPr>
              <w:pStyle w:val="ListBullet2"/>
            </w:pPr>
            <w:r w:rsidRPr="0023168E">
              <w:t>earthing</w:t>
            </w:r>
          </w:p>
          <w:p w:rsidR="00000000" w:rsidRPr="0023168E" w:rsidP="0023168E">
            <w:pPr>
              <w:pStyle w:val="ListBullet"/>
            </w:pPr>
            <w:r w:rsidRPr="0023168E">
              <w:t>types and causes of underground electrical apparatus defects and damage.</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14" w:name="O_1178143"/>
      <w:bookmarkEnd w:id="14"/>
      <w:r w:rsidRPr="0023168E">
        <w:t>Assessment Conditions</w:t>
      </w:r>
    </w:p>
    <w:tbl>
      <w:tblPr>
        <w:tblW w:w="9497" w:type="dxa"/>
        <w:tblLayout w:type="fixed"/>
        <w:tblCellMar>
          <w:left w:w="62" w:type="dxa"/>
          <w:right w:w="62" w:type="dxa"/>
        </w:tblCellMar>
        <w:tblLook w:val="0000"/>
      </w:tblPr>
      <w:tblGrid>
        <w:gridCol w:w="9497"/>
      </w:tblGrid>
      <w:tr w:rsidTr="002316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68E" w:rsidP="0023168E">
            <w:pPr>
              <w:pStyle w:val="BodyText"/>
            </w:pPr>
            <w:r w:rsidRPr="0023168E">
              <w:t>Assessors must hold credentials specified within the Standards for Registered Training Organisations current at the time of assessment.</w:t>
            </w:r>
          </w:p>
          <w:p w:rsidR="00000000" w:rsidRPr="0023168E" w:rsidP="0023168E">
            <w:pPr>
              <w:pStyle w:val="BodyText"/>
            </w:pPr>
            <w:r w:rsidRPr="0023168E">
              <w:t>Assessment must satisfy the Principles of Assessment and Rules of Evidence and all regulatory requirements included with</w:t>
            </w:r>
            <w:r w:rsidRPr="0023168E">
              <w:t>in the Standards for Registered Training Organisations current at the time of assessment.</w:t>
            </w:r>
          </w:p>
          <w:p w:rsidR="00000000" w:rsidRPr="0023168E" w:rsidP="0023168E">
            <w:pPr>
              <w:pStyle w:val="BodyText"/>
            </w:pPr>
            <w:r w:rsidRPr="0023168E">
              <w:t xml:space="preserve">Assessment must occur in workplace operational situations, where it is appropriate to do so. </w:t>
            </w:r>
          </w:p>
          <w:p w:rsidR="00000000" w:rsidRPr="0023168E" w:rsidP="0023168E">
            <w:pPr>
              <w:pStyle w:val="BodyText"/>
            </w:pPr>
            <w:r w:rsidRPr="0023168E">
              <w:t>Where this is not appropriate, assessment must occur in simulated condit</w:t>
            </w:r>
            <w:r w:rsidRPr="0023168E">
              <w:t>ions involving realistic and authentic activities that replicate operational workplace conditions.</w:t>
            </w:r>
          </w:p>
          <w:p w:rsidR="00000000" w:rsidRPr="0023168E" w:rsidP="0023168E">
            <w:pPr>
              <w:pStyle w:val="BodyText"/>
            </w:pPr>
            <w:r w:rsidRPr="0023168E">
              <w:t xml:space="preserve">Assessment processes and techniques must be appropriate to the language, literacy and numeracy requirements of the work being performed and the needs of the </w:t>
            </w:r>
            <w:r w:rsidRPr="0023168E">
              <w:t>candidate.</w:t>
            </w:r>
          </w:p>
          <w:p w:rsidR="00000000" w:rsidRPr="0023168E" w:rsidP="0023168E">
            <w:pPr>
              <w:pStyle w:val="BodyText"/>
            </w:pPr>
            <w:r w:rsidRPr="0023168E">
              <w:t>Resources for assessment must include access to:</w:t>
            </w:r>
          </w:p>
          <w:p w:rsidR="00000000" w:rsidRPr="0023168E" w:rsidP="0023168E">
            <w:pPr>
              <w:pStyle w:val="ListBullet"/>
            </w:pPr>
            <w:r w:rsidRPr="0023168E">
              <w:t>relevant and appropriate materials, tools, facilities, equipment and PPE currently used in industry for inspecting underground electrical apparatus.</w:t>
            </w:r>
          </w:p>
          <w:p w:rsidR="00000000" w:rsidRPr="0023168E" w:rsidP="0023168E">
            <w:pPr>
              <w:pStyle w:val="ListBullet"/>
            </w:pPr>
            <w:r w:rsidRPr="0023168E">
              <w:t xml:space="preserve">applicable documentation, including workplace </w:t>
            </w:r>
            <w:r w:rsidRPr="0023168E">
              <w:t>requirements, relevant industry standards, equipment specifications, regulations, codes of practice and operation manuals.</w:t>
            </w:r>
          </w:p>
        </w:tc>
      </w:tr>
    </w:tbl>
    <w:p w:rsidR="00000000" w:rsidRPr="0023168E" w:rsidP="0023168E">
      <w:pPr>
        <w:pStyle w:val="NoPaddingFontSize1"/>
      </w:pPr>
    </w:p>
    <w:p w:rsidR="00000000" w:rsidRPr="0023168E" w:rsidP="0023168E">
      <w:pPr>
        <w:pStyle w:val="AllowPageBreak"/>
      </w:pPr>
    </w:p>
    <w:p w:rsidR="00000000" w:rsidRPr="0023168E" w:rsidP="0023168E">
      <w:pPr>
        <w:pStyle w:val="Heading1"/>
      </w:pPr>
      <w:bookmarkStart w:id="15" w:name="O_1178146"/>
      <w:bookmarkEnd w:id="15"/>
      <w:r w:rsidRPr="0023168E">
        <w:t>Links</w:t>
      </w:r>
    </w:p>
    <w:p w:rsidR="00000000" w:rsidRPr="0023168E" w:rsidP="005F6E15">
      <w:pPr>
        <w:pStyle w:val="BodyText"/>
      </w:pPr>
      <w:r w:rsidRPr="0023168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840CE">
        <w:rPr>
          <w:rStyle w:val="Hyperlink"/>
        </w:rPr>
        <w:t>https://vetnet.gov.au/Pages/TrainingDocs.aspx?q=229bace1-b7bc-4653-9300-dffb13ecfad7</w:t>
      </w:r>
      <w:r>
        <w:fldChar w:fldCharType="end"/>
      </w:r>
    </w:p>
    <w:p w:rsidR="00000000" w:rsidRPr="0023168E" w:rsidP="0023168E"/>
    <w:sectPr w:rsidSect="002316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rsidRPr="005F6E15" w:rsidP="005F6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5" w:rsidP="00231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E15" w:rsidP="002316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6E15" w:rsidP="002316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rsidP="0023168E">
    <w:pPr>
      <w:pStyle w:val="Footer"/>
      <w:framePr w:wrap="around"/>
    </w:pPr>
    <w:r>
      <w:fldChar w:fldCharType="begin"/>
    </w:r>
    <w:r>
      <w:instrText xml:space="preserve"> DOCPROPERTY  Subject  \* MERGEFORMAT </w:instrText>
    </w:r>
    <w:r>
      <w:fldChar w:fldCharType="separate"/>
    </w:r>
    <w:r w:rsidR="005F6E15">
      <w:t>Approved</w:t>
    </w:r>
    <w:r w:rsidR="005F6E15">
      <w:fldChar w:fldCharType="end"/>
    </w:r>
    <w:r>
      <w:tab/>
      <w:t xml:space="preserve">Page </w:t>
    </w:r>
    <w:r>
      <w:fldChar w:fldCharType="begin"/>
    </w:r>
    <w:r>
      <w:instrText xml:space="preserve"> PAGE  \* Arabic  \* MERGEFORMAT </w:instrText>
    </w:r>
    <w:r>
      <w:fldChar w:fldCharType="separate"/>
    </w:r>
    <w:r w:rsidR="005F6E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E15">
      <w:rPr>
        <w:noProof/>
      </w:rPr>
      <w:t>4</w:t>
    </w:r>
    <w:r>
      <w:rPr>
        <w:noProof/>
      </w:rPr>
      <w:fldChar w:fldCharType="end"/>
    </w:r>
  </w:p>
  <w:p w:rsidR="0023168E" w:rsidP="0023168E">
    <w:pPr>
      <w:pStyle w:val="Footer"/>
      <w:framePr w:wrap="around"/>
    </w:pPr>
    <w:r>
      <w:t xml:space="preserve">© Commonwealth of Australia, </w:t>
    </w:r>
    <w:r>
      <w:fldChar w:fldCharType="begin"/>
    </w:r>
    <w:r>
      <w:instrText xml:space="preserve"> DATE  \@ "yyyy"  \* MERGEFORMAT </w:instrText>
    </w:r>
    <w:r>
      <w:fldChar w:fldCharType="separate"/>
    </w:r>
    <w:r w:rsidR="005F6E15">
      <w:rPr>
        <w:noProof/>
      </w:rPr>
      <w:t>2025</w:t>
    </w:r>
    <w:r>
      <w:fldChar w:fldCharType="end"/>
    </w:r>
    <w:r>
      <w:tab/>
    </w:r>
    <w:r>
      <w:fldChar w:fldCharType="begin"/>
    </w:r>
    <w:r>
      <w:instrText xml:space="preserve"> DOCPROPERTY  Author  \* MERGEFORMAT </w:instrText>
    </w:r>
    <w:r>
      <w:fldChar w:fldCharType="separate"/>
    </w:r>
    <w:r w:rsidR="005F6E15">
      <w:t>Powering Skills Organisation</w:t>
    </w:r>
    <w:r w:rsidR="005F6E15">
      <w:fldChar w:fldCharType="end"/>
    </w:r>
  </w:p>
  <w:p w:rsidR="0023168E" w:rsidP="00231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68E" w:rsidRPr="005F6E15" w:rsidP="005F6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15" w:rsidRPr="002D2AF8" w:rsidP="0023168E">
    <w:pPr>
      <w:pStyle w:val="Header"/>
      <w:framePr w:wrap="around"/>
    </w:pPr>
    <w:r>
      <w:fldChar w:fldCharType="begin"/>
    </w:r>
    <w:r>
      <w:instrText xml:space="preserve"> TITLE   \* MERGEFORMAT </w:instrText>
    </w:r>
    <w:r>
      <w:fldChar w:fldCharType="separate"/>
    </w:r>
    <w:r>
      <w:t>UETDRDU002 Inspect underground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6E15" w:rsidP="002316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8E" w:rsidRPr="002D2AF8" w:rsidP="0023168E">
    <w:pPr>
      <w:pStyle w:val="Header"/>
      <w:framePr w:wrap="around"/>
    </w:pPr>
    <w:r>
      <w:fldChar w:fldCharType="begin"/>
    </w:r>
    <w:r>
      <w:instrText xml:space="preserve"> TITLE   \* MERGEFORMAT </w:instrText>
    </w:r>
    <w:r>
      <w:fldChar w:fldCharType="separate"/>
    </w:r>
    <w:r w:rsidR="005F6E15">
      <w:t>UETDRDU002 Inspect underground electrical apparatus</w:t>
    </w:r>
    <w:r w:rsidR="005F6E15">
      <w:fldChar w:fldCharType="end"/>
    </w:r>
    <w:r>
      <w:tab/>
      <w:t xml:space="preserve">Date this document was generated: </w:t>
    </w:r>
    <w:r>
      <w:fldChar w:fldCharType="begin"/>
    </w:r>
    <w:r>
      <w:instrText xml:space="preserve"> CREATEDATE  \@ "d MMMM yyyy"  \* MERGEFORMAT </w:instrText>
    </w:r>
    <w:r>
      <w:fldChar w:fldCharType="separate"/>
    </w:r>
    <w:r w:rsidR="005F6E15">
      <w:rPr>
        <w:noProof/>
      </w:rPr>
      <w:t>1 March 2025</w:t>
    </w:r>
    <w:r>
      <w:fldChar w:fldCharType="end"/>
    </w:r>
  </w:p>
  <w:p w:rsidR="0023168E" w:rsidP="00231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A2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C9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08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68E"/>
    <w:pPr>
      <w:spacing w:before="360" w:after="60"/>
      <w:outlineLvl w:val="0"/>
    </w:pPr>
    <w:rPr>
      <w:sz w:val="32"/>
    </w:rPr>
  </w:style>
  <w:style w:type="paragraph" w:styleId="Heading2">
    <w:name w:val="heading 2"/>
    <w:basedOn w:val="HeadingBase"/>
    <w:next w:val="BodyText"/>
    <w:link w:val="Heading2Char"/>
    <w:qFormat/>
    <w:rsid w:val="0023168E"/>
    <w:pPr>
      <w:keepLines/>
      <w:spacing w:before="240" w:after="120"/>
      <w:outlineLvl w:val="1"/>
    </w:pPr>
    <w:rPr>
      <w:sz w:val="28"/>
      <w:szCs w:val="40"/>
    </w:rPr>
  </w:style>
  <w:style w:type="paragraph" w:styleId="Heading3">
    <w:name w:val="heading 3"/>
    <w:basedOn w:val="HeadingBase"/>
    <w:next w:val="BodyText"/>
    <w:link w:val="Heading3Char"/>
    <w:qFormat/>
    <w:rsid w:val="0023168E"/>
    <w:pPr>
      <w:spacing w:before="180" w:after="120"/>
      <w:outlineLvl w:val="2"/>
    </w:pPr>
    <w:rPr>
      <w:spacing w:val="-10"/>
      <w:kern w:val="32"/>
    </w:rPr>
  </w:style>
  <w:style w:type="paragraph" w:styleId="Heading4">
    <w:name w:val="heading 4"/>
    <w:basedOn w:val="HeadingBase"/>
    <w:next w:val="BodyText"/>
    <w:link w:val="Heading4Char"/>
    <w:qFormat/>
    <w:rsid w:val="0023168E"/>
    <w:pPr>
      <w:spacing w:before="160" w:after="120"/>
      <w:outlineLvl w:val="3"/>
    </w:pPr>
    <w:rPr>
      <w:sz w:val="22"/>
    </w:rPr>
  </w:style>
  <w:style w:type="paragraph" w:styleId="Heading5">
    <w:name w:val="heading 5"/>
    <w:basedOn w:val="HeadingBase"/>
    <w:next w:val="Normal"/>
    <w:link w:val="Heading5Char"/>
    <w:qFormat/>
    <w:rsid w:val="0023168E"/>
    <w:pPr>
      <w:spacing w:before="80"/>
      <w:outlineLvl w:val="4"/>
    </w:pPr>
    <w:rPr>
      <w:color w:val="918585"/>
      <w:sz w:val="20"/>
    </w:rPr>
  </w:style>
  <w:style w:type="paragraph" w:styleId="Heading6">
    <w:name w:val="heading 6"/>
    <w:basedOn w:val="HeadingBase"/>
    <w:next w:val="Normal"/>
    <w:link w:val="Heading6Char"/>
    <w:qFormat/>
    <w:rsid w:val="0023168E"/>
    <w:pPr>
      <w:spacing w:before="60"/>
      <w:outlineLvl w:val="5"/>
    </w:pPr>
    <w:rPr>
      <w:color w:val="918585"/>
      <w:sz w:val="20"/>
    </w:rPr>
  </w:style>
  <w:style w:type="paragraph" w:styleId="Heading7">
    <w:name w:val="heading 7"/>
    <w:basedOn w:val="Normal"/>
    <w:next w:val="Normal"/>
    <w:link w:val="Heading7Char"/>
    <w:qFormat/>
    <w:rsid w:val="0023168E"/>
    <w:pPr>
      <w:ind w:left="720"/>
      <w:outlineLvl w:val="6"/>
    </w:pPr>
    <w:rPr>
      <w:i/>
    </w:rPr>
  </w:style>
  <w:style w:type="paragraph" w:styleId="Heading8">
    <w:name w:val="heading 8"/>
    <w:basedOn w:val="Normal"/>
    <w:next w:val="Normal"/>
    <w:link w:val="Heading8Char"/>
    <w:qFormat/>
    <w:rsid w:val="0023168E"/>
    <w:pPr>
      <w:ind w:left="720"/>
      <w:outlineLvl w:val="7"/>
    </w:pPr>
    <w:rPr>
      <w:i/>
    </w:rPr>
  </w:style>
  <w:style w:type="paragraph" w:styleId="Heading9">
    <w:name w:val="heading 9"/>
    <w:basedOn w:val="Normal"/>
    <w:next w:val="Normal"/>
    <w:link w:val="Heading9Char"/>
    <w:qFormat/>
    <w:rsid w:val="0023168E"/>
    <w:pPr>
      <w:ind w:left="720"/>
      <w:outlineLvl w:val="8"/>
    </w:pPr>
    <w:rPr>
      <w:i/>
    </w:rPr>
  </w:style>
  <w:style w:type="character" w:default="1" w:styleId="DefaultParagraphFont">
    <w:name w:val="Default Paragraph Font"/>
    <w:uiPriority w:val="1"/>
    <w:unhideWhenUsed/>
    <w:rsid w:val="00231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68E"/>
  </w:style>
  <w:style w:type="character" w:customStyle="1" w:styleId="Heading1Char">
    <w:name w:val="Heading 1 Char"/>
    <w:basedOn w:val="DefaultParagraphFont"/>
    <w:link w:val="Heading1"/>
    <w:rsid w:val="0023168E"/>
    <w:rPr>
      <w:rFonts w:ascii="Times New Roman" w:eastAsia="Times New Roman" w:hAnsi="Times New Roman" w:cs="Times New Roman"/>
      <w:b/>
      <w:sz w:val="32"/>
      <w:szCs w:val="20"/>
      <w:lang w:eastAsia="en-US"/>
    </w:rPr>
  </w:style>
  <w:style w:type="paragraph" w:styleId="BodyText">
    <w:name w:val="Body Text"/>
    <w:basedOn w:val="Normal"/>
    <w:link w:val="BodyTextChar"/>
    <w:rsid w:val="00231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68E"/>
    <w:rPr>
      <w:rFonts w:ascii="Times New Roman" w:eastAsia="Times New Roman" w:hAnsi="Times New Roman" w:cs="Times New Roman"/>
      <w:sz w:val="24"/>
      <w:lang w:eastAsia="en-US"/>
    </w:rPr>
  </w:style>
  <w:style w:type="paragraph" w:styleId="ListBullet">
    <w:name w:val="List Bullet"/>
    <w:basedOn w:val="List"/>
    <w:rsid w:val="0023168E"/>
    <w:pPr>
      <w:numPr>
        <w:numId w:val="12"/>
      </w:numPr>
      <w:tabs>
        <w:tab w:val="clear" w:pos="340"/>
      </w:tabs>
      <w:spacing w:before="40" w:after="40"/>
    </w:pPr>
  </w:style>
  <w:style w:type="character" w:customStyle="1" w:styleId="SpecialBold">
    <w:name w:val="Special Bold"/>
    <w:basedOn w:val="DefaultParagraphFont"/>
    <w:rsid w:val="0023168E"/>
    <w:rPr>
      <w:b/>
      <w:spacing w:val="0"/>
    </w:rPr>
  </w:style>
  <w:style w:type="paragraph" w:styleId="ListBullet2">
    <w:name w:val="List Bullet 2"/>
    <w:basedOn w:val="List2"/>
    <w:rsid w:val="0023168E"/>
    <w:pPr>
      <w:numPr>
        <w:numId w:val="13"/>
      </w:numPr>
      <w:tabs>
        <w:tab w:val="clear" w:pos="680"/>
      </w:tabs>
    </w:pPr>
  </w:style>
  <w:style w:type="paragraph" w:customStyle="1" w:styleId="SuperHeading">
    <w:name w:val="SuperHeading"/>
    <w:basedOn w:val="Normal"/>
    <w:rsid w:val="0023168E"/>
    <w:pPr>
      <w:spacing w:before="240" w:after="120"/>
      <w:outlineLvl w:val="0"/>
    </w:pPr>
    <w:rPr>
      <w:rFonts w:ascii="Times New Roman" w:hAnsi="Times New Roman"/>
      <w:b/>
      <w:sz w:val="32"/>
    </w:rPr>
  </w:style>
  <w:style w:type="paragraph" w:customStyle="1" w:styleId="AllowPageBreak">
    <w:name w:val="AllowPageBreak"/>
    <w:rsid w:val="002316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1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68E"/>
    <w:rPr>
      <w:rFonts w:ascii="Courier New" w:eastAsia="Times New Roman" w:hAnsi="Courier New" w:cs="Times New Roman"/>
      <w:i/>
      <w:szCs w:val="20"/>
      <w:lang w:eastAsia="en-US"/>
    </w:rPr>
  </w:style>
  <w:style w:type="paragraph" w:customStyle="1" w:styleId="HeadingBase">
    <w:name w:val="Heading Base"/>
    <w:rsid w:val="00231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68E"/>
    <w:pPr>
      <w:tabs>
        <w:tab w:val="right" w:leader="dot" w:pos="9072"/>
      </w:tabs>
      <w:ind w:left="567"/>
    </w:pPr>
    <w:rPr>
      <w:szCs w:val="22"/>
    </w:rPr>
  </w:style>
  <w:style w:type="paragraph" w:customStyle="1" w:styleId="TOCBase">
    <w:name w:val="TOC Base"/>
    <w:rsid w:val="00231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68E"/>
    <w:pPr>
      <w:tabs>
        <w:tab w:val="right" w:leader="dot" w:pos="9072"/>
      </w:tabs>
      <w:spacing w:before="40" w:after="40"/>
      <w:ind w:left="284"/>
    </w:pPr>
    <w:rPr>
      <w:rFonts w:ascii="Times New Roman" w:hAnsi="Times New Roman"/>
    </w:rPr>
  </w:style>
  <w:style w:type="paragraph" w:styleId="TOC1">
    <w:name w:val="toc 1"/>
    <w:basedOn w:val="TOCBase"/>
    <w:next w:val="Normal"/>
    <w:rsid w:val="00231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68E"/>
    <w:rPr>
      <w:rFonts w:ascii="Times New Roman" w:eastAsia="Times New Roman" w:hAnsi="Times New Roman" w:cs="Times New Roman"/>
      <w:sz w:val="16"/>
      <w:lang w:eastAsia="en-US"/>
    </w:rPr>
  </w:style>
  <w:style w:type="paragraph" w:styleId="Title">
    <w:name w:val="Title"/>
    <w:basedOn w:val="HeadingBase"/>
    <w:link w:val="TitleChar"/>
    <w:qFormat/>
    <w:rsid w:val="0023168E"/>
    <w:pPr>
      <w:spacing w:before="5040"/>
      <w:jc w:val="center"/>
    </w:pPr>
    <w:rPr>
      <w:sz w:val="48"/>
      <w:szCs w:val="72"/>
      <w:lang w:val="en-US"/>
    </w:rPr>
  </w:style>
  <w:style w:type="character" w:customStyle="1" w:styleId="TitleChar">
    <w:name w:val="Title Char"/>
    <w:basedOn w:val="DefaultParagraphFont"/>
    <w:link w:val="Title"/>
    <w:rsid w:val="00231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68E"/>
    <w:pPr>
      <w:tabs>
        <w:tab w:val="left" w:pos="3600"/>
        <w:tab w:val="left" w:pos="3958"/>
      </w:tabs>
    </w:pPr>
  </w:style>
  <w:style w:type="paragraph" w:styleId="List">
    <w:name w:val="List"/>
    <w:basedOn w:val="BodyText"/>
    <w:next w:val="BodyText"/>
    <w:rsid w:val="0023168E"/>
    <w:pPr>
      <w:tabs>
        <w:tab w:val="left" w:pos="340"/>
      </w:tabs>
      <w:spacing w:before="60" w:after="60"/>
      <w:ind w:left="340" w:hanging="340"/>
    </w:pPr>
  </w:style>
  <w:style w:type="paragraph" w:customStyle="1" w:styleId="Note">
    <w:name w:val="Note"/>
    <w:basedOn w:val="BodyText"/>
    <w:rsid w:val="00231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68E"/>
    <w:pPr>
      <w:framePr w:wrap="auto" w:hAnchor="text" w:y="6049"/>
    </w:pPr>
    <w:rPr>
      <w:color w:val="000000"/>
      <w:sz w:val="40"/>
    </w:rPr>
  </w:style>
  <w:style w:type="paragraph" w:customStyle="1" w:styleId="TOCTitle">
    <w:name w:val="TOCTitle"/>
    <w:basedOn w:val="Heading1"/>
    <w:rsid w:val="0023168E"/>
    <w:pPr>
      <w:spacing w:after="240"/>
      <w:jc w:val="center"/>
      <w:outlineLvl w:val="9"/>
    </w:pPr>
    <w:rPr>
      <w:caps/>
    </w:rPr>
  </w:style>
  <w:style w:type="paragraph" w:customStyle="1" w:styleId="Version">
    <w:name w:val="Version"/>
    <w:rsid w:val="00231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68E"/>
    <w:pPr>
      <w:keepNext w:val="0"/>
      <w:tabs>
        <w:tab w:val="right" w:pos="4176"/>
      </w:tabs>
      <w:ind w:left="198" w:hanging="198"/>
    </w:pPr>
    <w:rPr>
      <w:rFonts w:ascii="Garamond" w:hAnsi="Garamond"/>
    </w:rPr>
  </w:style>
  <w:style w:type="paragraph" w:styleId="IndexHeading">
    <w:name w:val="index heading"/>
    <w:basedOn w:val="Normal"/>
    <w:next w:val="Index1"/>
    <w:semiHidden/>
    <w:rsid w:val="0023168E"/>
    <w:pPr>
      <w:spacing w:before="120" w:after="120"/>
    </w:pPr>
    <w:rPr>
      <w:rFonts w:ascii="Arial" w:hAnsi="Arial"/>
      <w:b/>
      <w:color w:val="918585"/>
      <w:sz w:val="24"/>
    </w:rPr>
  </w:style>
  <w:style w:type="paragraph" w:styleId="Header">
    <w:name w:val="header"/>
    <w:basedOn w:val="Normal"/>
    <w:link w:val="HeaderChar"/>
    <w:rsid w:val="00231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68E"/>
    <w:rPr>
      <w:rFonts w:ascii="Times New Roman" w:eastAsia="Times New Roman" w:hAnsi="Times New Roman" w:cs="Times New Roman"/>
      <w:sz w:val="16"/>
      <w:szCs w:val="20"/>
      <w:lang w:val="en-GB" w:eastAsia="en-US"/>
    </w:rPr>
  </w:style>
  <w:style w:type="paragraph" w:customStyle="1" w:styleId="Chapter">
    <w:name w:val="Chapter"/>
    <w:basedOn w:val="Normal"/>
    <w:rsid w:val="0023168E"/>
    <w:pPr>
      <w:spacing w:before="240"/>
    </w:pPr>
    <w:rPr>
      <w:rFonts w:ascii="Times New Roman" w:hAnsi="Times New Roman"/>
      <w:smallCaps/>
      <w:spacing w:val="80"/>
      <w:sz w:val="28"/>
    </w:rPr>
  </w:style>
  <w:style w:type="paragraph" w:customStyle="1" w:styleId="InChapter">
    <w:name w:val="InChapter"/>
    <w:basedOn w:val="Heading3"/>
    <w:rsid w:val="0023168E"/>
    <w:pPr>
      <w:spacing w:after="240"/>
      <w:outlineLvl w:val="9"/>
    </w:pPr>
    <w:rPr>
      <w:noProof/>
    </w:rPr>
  </w:style>
  <w:style w:type="paragraph" w:styleId="Index2">
    <w:name w:val="index 2"/>
    <w:basedOn w:val="Normal"/>
    <w:next w:val="Normal"/>
    <w:semiHidden/>
    <w:rsid w:val="0023168E"/>
    <w:pPr>
      <w:tabs>
        <w:tab w:val="right" w:pos="4176"/>
      </w:tabs>
      <w:ind w:left="568" w:hanging="284"/>
    </w:pPr>
    <w:rPr>
      <w:rFonts w:ascii="Garamond" w:hAnsi="Garamond"/>
    </w:rPr>
  </w:style>
  <w:style w:type="paragraph" w:customStyle="1" w:styleId="Byline">
    <w:name w:val="Byline"/>
    <w:rsid w:val="00231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68E"/>
    <w:pPr>
      <w:tabs>
        <w:tab w:val="clear" w:pos="3600"/>
        <w:tab w:val="clear" w:pos="3958"/>
      </w:tabs>
      <w:jc w:val="right"/>
    </w:pPr>
  </w:style>
  <w:style w:type="character" w:styleId="Emphasis">
    <w:name w:val="Emphasis"/>
    <w:basedOn w:val="DefaultParagraphFont"/>
    <w:qFormat/>
    <w:rsid w:val="0023168E"/>
    <w:rPr>
      <w:i/>
    </w:rPr>
  </w:style>
  <w:style w:type="paragraph" w:styleId="Caption">
    <w:name w:val="caption"/>
    <w:basedOn w:val="BodyText"/>
    <w:next w:val="Normal"/>
    <w:qFormat/>
    <w:rsid w:val="0023168E"/>
    <w:pPr>
      <w:framePr w:w="2268" w:hSpace="181" w:vSpace="181" w:wrap="around" w:vAnchor="text" w:hAnchor="page" w:x="1135" w:y="285" w:anchorLock="1"/>
    </w:pPr>
    <w:rPr>
      <w:i/>
    </w:rPr>
  </w:style>
  <w:style w:type="paragraph" w:customStyle="1" w:styleId="MiniTOCTitle">
    <w:name w:val="MiniTOCTitle"/>
    <w:basedOn w:val="Heading4"/>
    <w:rsid w:val="0023168E"/>
    <w:pPr>
      <w:spacing w:before="240"/>
      <w:outlineLvl w:val="9"/>
    </w:pPr>
    <w:rPr>
      <w:noProof/>
      <w:sz w:val="24"/>
    </w:rPr>
  </w:style>
  <w:style w:type="paragraph" w:customStyle="1" w:styleId="MiniTOCItem">
    <w:name w:val="MiniTOCItem"/>
    <w:basedOn w:val="ListBullet"/>
    <w:rsid w:val="0023168E"/>
    <w:pPr>
      <w:numPr>
        <w:numId w:val="0"/>
      </w:numPr>
      <w:tabs>
        <w:tab w:val="right" w:leader="dot" w:pos="6521"/>
      </w:tabs>
      <w:spacing w:before="0" w:after="0"/>
    </w:pPr>
  </w:style>
  <w:style w:type="paragraph" w:customStyle="1" w:styleId="TOFTitle">
    <w:name w:val="TOFTitle"/>
    <w:basedOn w:val="TOCTitle"/>
    <w:rsid w:val="0023168E"/>
  </w:style>
  <w:style w:type="paragraph" w:styleId="TableofFigures">
    <w:name w:val="table of figures"/>
    <w:basedOn w:val="Normal"/>
    <w:next w:val="Normal"/>
    <w:semiHidden/>
    <w:rsid w:val="0023168E"/>
    <w:pPr>
      <w:tabs>
        <w:tab w:val="right" w:leader="dot" w:pos="9072"/>
      </w:tabs>
      <w:ind w:left="970" w:hanging="403"/>
    </w:pPr>
    <w:rPr>
      <w:rFonts w:ascii="Times New Roman" w:hAnsi="Times New Roman"/>
      <w:b/>
    </w:rPr>
  </w:style>
  <w:style w:type="paragraph" w:styleId="ListNumber">
    <w:name w:val="List Number"/>
    <w:basedOn w:val="List"/>
    <w:rsid w:val="0023168E"/>
    <w:pPr>
      <w:numPr>
        <w:numId w:val="15"/>
      </w:numPr>
      <w:tabs>
        <w:tab w:val="clear" w:pos="340"/>
      </w:tabs>
    </w:pPr>
  </w:style>
  <w:style w:type="character" w:customStyle="1" w:styleId="WingdingSymbols">
    <w:name w:val="Wingding Symbols"/>
    <w:rsid w:val="0023168E"/>
    <w:rPr>
      <w:rFonts w:ascii="Wingdings" w:hAnsi="Wingdings"/>
    </w:rPr>
  </w:style>
  <w:style w:type="paragraph" w:customStyle="1" w:styleId="TableHeading">
    <w:name w:val="Table Heading"/>
    <w:basedOn w:val="HeadingBase"/>
    <w:rsid w:val="0023168E"/>
    <w:pPr>
      <w:keepLines/>
      <w:pBdr>
        <w:bottom w:val="single" w:sz="6" w:space="1" w:color="918585"/>
      </w:pBdr>
      <w:spacing w:before="240"/>
    </w:pPr>
  </w:style>
  <w:style w:type="character" w:customStyle="1" w:styleId="HotSpot">
    <w:name w:val="HotSpot"/>
    <w:rsid w:val="0023168E"/>
    <w:rPr>
      <w:color w:val="0033CC"/>
      <w:u w:val="none"/>
    </w:rPr>
  </w:style>
  <w:style w:type="paragraph" w:customStyle="1" w:styleId="BodyTextRight">
    <w:name w:val="Body Text Right"/>
    <w:basedOn w:val="BodyText"/>
    <w:rsid w:val="0023168E"/>
    <w:pPr>
      <w:spacing w:before="0" w:after="0"/>
      <w:jc w:val="right"/>
    </w:pPr>
  </w:style>
  <w:style w:type="paragraph" w:styleId="Index3">
    <w:name w:val="index 3"/>
    <w:basedOn w:val="ListNumber2"/>
    <w:next w:val="Normal"/>
    <w:semiHidden/>
    <w:rsid w:val="0023168E"/>
    <w:pPr>
      <w:numPr>
        <w:numId w:val="0"/>
      </w:numPr>
      <w:tabs>
        <w:tab w:val="right" w:leader="dot" w:pos="4176"/>
      </w:tabs>
    </w:pPr>
  </w:style>
  <w:style w:type="paragraph" w:styleId="ListNumber2">
    <w:name w:val="List Number 2"/>
    <w:basedOn w:val="List2"/>
    <w:rsid w:val="0023168E"/>
    <w:pPr>
      <w:numPr>
        <w:numId w:val="10"/>
      </w:numPr>
      <w:tabs>
        <w:tab w:val="clear" w:pos="1060"/>
      </w:tabs>
    </w:pPr>
  </w:style>
  <w:style w:type="paragraph" w:customStyle="1" w:styleId="MarginNote">
    <w:name w:val="Margin Note"/>
    <w:basedOn w:val="BodyText"/>
    <w:rsid w:val="00231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68E"/>
    <w:rPr>
      <w:sz w:val="32"/>
    </w:rPr>
  </w:style>
  <w:style w:type="paragraph" w:customStyle="1" w:styleId="HeadingProcedure">
    <w:name w:val="Heading Procedure"/>
    <w:basedOn w:val="HeadingBase"/>
    <w:next w:val="Normal"/>
    <w:rsid w:val="0023168E"/>
    <w:pPr>
      <w:tabs>
        <w:tab w:val="left" w:pos="0"/>
      </w:tabs>
      <w:spacing w:before="120" w:after="60"/>
    </w:pPr>
    <w:rPr>
      <w:i/>
      <w:color w:val="918585"/>
      <w:sz w:val="22"/>
    </w:rPr>
  </w:style>
  <w:style w:type="paragraph" w:customStyle="1" w:styleId="TableBodyText">
    <w:name w:val="Table Body Text"/>
    <w:basedOn w:val="BodyText"/>
    <w:rsid w:val="0023168E"/>
    <w:pPr>
      <w:spacing w:before="60" w:after="60"/>
    </w:pPr>
  </w:style>
  <w:style w:type="paragraph" w:styleId="ListContinue">
    <w:name w:val="List Continue"/>
    <w:basedOn w:val="List"/>
    <w:rsid w:val="0023168E"/>
    <w:pPr>
      <w:ind w:firstLine="0"/>
    </w:pPr>
  </w:style>
  <w:style w:type="paragraph" w:customStyle="1" w:styleId="ListNote">
    <w:name w:val="List Note"/>
    <w:basedOn w:val="List"/>
    <w:rsid w:val="0023168E"/>
    <w:pPr>
      <w:pBdr>
        <w:top w:val="single" w:sz="6" w:space="2" w:color="918585"/>
        <w:bottom w:val="single" w:sz="6" w:space="2" w:color="918585"/>
      </w:pBdr>
      <w:tabs>
        <w:tab w:val="left" w:pos="1021"/>
      </w:tabs>
      <w:ind w:firstLine="0"/>
    </w:pPr>
  </w:style>
  <w:style w:type="paragraph" w:customStyle="1" w:styleId="Warning">
    <w:name w:val="Warning"/>
    <w:basedOn w:val="BodyText"/>
    <w:rsid w:val="0023168E"/>
    <w:pPr>
      <w:shd w:val="clear" w:color="auto" w:fill="D9D9D9"/>
      <w:tabs>
        <w:tab w:val="left" w:pos="992"/>
      </w:tabs>
      <w:ind w:left="119" w:right="119"/>
    </w:pPr>
    <w:rPr>
      <w:sz w:val="20"/>
    </w:rPr>
  </w:style>
  <w:style w:type="paragraph" w:customStyle="1" w:styleId="MarginIcons">
    <w:name w:val="Margin Icons"/>
    <w:basedOn w:val="BodyText"/>
    <w:rsid w:val="00231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68E"/>
    <w:rPr>
      <w:rFonts w:ascii="Courier New" w:hAnsi="Courier New"/>
    </w:rPr>
  </w:style>
  <w:style w:type="paragraph" w:customStyle="1" w:styleId="NoteBullet">
    <w:name w:val="Note Bullet"/>
    <w:basedOn w:val="Note"/>
    <w:rsid w:val="0023168E"/>
    <w:pPr>
      <w:tabs>
        <w:tab w:val="clear" w:pos="680"/>
      </w:tabs>
      <w:spacing w:before="60" w:after="60"/>
    </w:pPr>
  </w:style>
  <w:style w:type="paragraph" w:customStyle="1" w:styleId="SubHeading2">
    <w:name w:val="SubHeading2"/>
    <w:basedOn w:val="HeadingBase"/>
    <w:rsid w:val="0023168E"/>
    <w:pPr>
      <w:spacing w:before="240" w:after="60"/>
    </w:pPr>
    <w:rPr>
      <w:sz w:val="20"/>
    </w:rPr>
  </w:style>
  <w:style w:type="paragraph" w:customStyle="1" w:styleId="SubHeading1">
    <w:name w:val="SubHeading1"/>
    <w:basedOn w:val="HeadingBase"/>
    <w:rsid w:val="0023168E"/>
    <w:pPr>
      <w:spacing w:before="240" w:after="60"/>
    </w:pPr>
    <w:rPr>
      <w:color w:val="918585"/>
      <w:sz w:val="22"/>
    </w:rPr>
  </w:style>
  <w:style w:type="paragraph" w:customStyle="1" w:styleId="SideHeading">
    <w:name w:val="Side Heading"/>
    <w:basedOn w:val="HeadingBase"/>
    <w:rsid w:val="00231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68E"/>
    <w:pPr>
      <w:tabs>
        <w:tab w:val="num" w:pos="360"/>
      </w:tabs>
    </w:pPr>
  </w:style>
  <w:style w:type="paragraph" w:styleId="PlainText">
    <w:name w:val="Plain Text"/>
    <w:basedOn w:val="Normal"/>
    <w:link w:val="PlainTextChar"/>
    <w:rsid w:val="0023168E"/>
    <w:rPr>
      <w:sz w:val="20"/>
    </w:rPr>
  </w:style>
  <w:style w:type="character" w:customStyle="1" w:styleId="PlainTextChar">
    <w:name w:val="Plain Text Char"/>
    <w:basedOn w:val="DefaultParagraphFont"/>
    <w:link w:val="PlainText"/>
    <w:rsid w:val="0023168E"/>
    <w:rPr>
      <w:rFonts w:ascii="Courier New" w:eastAsia="Times New Roman" w:hAnsi="Courier New" w:cs="Times New Roman"/>
      <w:sz w:val="20"/>
      <w:szCs w:val="20"/>
      <w:lang w:eastAsia="en-US"/>
    </w:rPr>
  </w:style>
  <w:style w:type="character" w:customStyle="1" w:styleId="MenuOption">
    <w:name w:val="Menu Option"/>
    <w:basedOn w:val="DefaultParagraphFont"/>
    <w:rsid w:val="0023168E"/>
    <w:rPr>
      <w:b/>
      <w:smallCaps/>
    </w:rPr>
  </w:style>
  <w:style w:type="paragraph" w:customStyle="1" w:styleId="TableListNumber">
    <w:name w:val="Table List Number"/>
    <w:basedOn w:val="ListNumber"/>
    <w:rsid w:val="0023168E"/>
    <w:pPr>
      <w:numPr>
        <w:numId w:val="0"/>
      </w:numPr>
    </w:pPr>
  </w:style>
  <w:style w:type="paragraph" w:styleId="TOC4">
    <w:name w:val="toc 4"/>
    <w:basedOn w:val="TOCBase"/>
    <w:next w:val="Normal"/>
    <w:semiHidden/>
    <w:rsid w:val="0023168E"/>
    <w:pPr>
      <w:tabs>
        <w:tab w:val="right" w:leader="dot" w:pos="9071"/>
      </w:tabs>
      <w:ind w:left="1701"/>
    </w:pPr>
  </w:style>
  <w:style w:type="paragraph" w:customStyle="1" w:styleId="ListAlpha">
    <w:name w:val="List Alpha"/>
    <w:basedOn w:val="List"/>
    <w:rsid w:val="0023168E"/>
    <w:pPr>
      <w:numPr>
        <w:numId w:val="9"/>
      </w:numPr>
    </w:pPr>
  </w:style>
  <w:style w:type="paragraph" w:customStyle="1" w:styleId="ListAlpha2">
    <w:name w:val="List Alpha 2"/>
    <w:basedOn w:val="List2"/>
    <w:rsid w:val="0023168E"/>
    <w:pPr>
      <w:numPr>
        <w:numId w:val="8"/>
      </w:numPr>
    </w:pPr>
  </w:style>
  <w:style w:type="paragraph" w:styleId="List2">
    <w:name w:val="List 2"/>
    <w:basedOn w:val="BodyText"/>
    <w:rsid w:val="0023168E"/>
    <w:pPr>
      <w:tabs>
        <w:tab w:val="left" w:pos="680"/>
      </w:tabs>
      <w:spacing w:before="60" w:after="60"/>
      <w:ind w:left="680" w:hanging="340"/>
    </w:pPr>
  </w:style>
  <w:style w:type="paragraph" w:styleId="List3">
    <w:name w:val="List 3"/>
    <w:basedOn w:val="BodyText"/>
    <w:rsid w:val="0023168E"/>
    <w:pPr>
      <w:tabs>
        <w:tab w:val="left" w:pos="1021"/>
      </w:tabs>
      <w:spacing w:before="60" w:after="60"/>
      <w:ind w:left="1020" w:hanging="340"/>
    </w:pPr>
  </w:style>
  <w:style w:type="paragraph" w:styleId="List4">
    <w:name w:val="List 4"/>
    <w:basedOn w:val="BodyText"/>
    <w:rsid w:val="0023168E"/>
    <w:pPr>
      <w:tabs>
        <w:tab w:val="left" w:pos="1361"/>
      </w:tabs>
      <w:spacing w:before="60" w:after="60"/>
      <w:ind w:left="1361" w:hanging="340"/>
    </w:pPr>
  </w:style>
  <w:style w:type="paragraph" w:styleId="List5">
    <w:name w:val="List 5"/>
    <w:basedOn w:val="BodyText"/>
    <w:rsid w:val="0023168E"/>
    <w:pPr>
      <w:tabs>
        <w:tab w:val="left" w:pos="1701"/>
      </w:tabs>
      <w:spacing w:before="60" w:after="60"/>
      <w:ind w:left="1701" w:hanging="340"/>
    </w:pPr>
  </w:style>
  <w:style w:type="paragraph" w:styleId="ListBullet3">
    <w:name w:val="List Bullet 3"/>
    <w:basedOn w:val="List3"/>
    <w:rsid w:val="0023168E"/>
    <w:pPr>
      <w:numPr>
        <w:numId w:val="14"/>
      </w:numPr>
      <w:tabs>
        <w:tab w:val="clear" w:pos="1021"/>
      </w:tabs>
      <w:ind w:left="1037" w:hanging="357"/>
    </w:pPr>
  </w:style>
  <w:style w:type="paragraph" w:styleId="ListBullet4">
    <w:name w:val="List Bullet 4"/>
    <w:basedOn w:val="List4"/>
    <w:rsid w:val="0023168E"/>
    <w:pPr>
      <w:numPr>
        <w:numId w:val="3"/>
      </w:numPr>
      <w:tabs>
        <w:tab w:val="clear" w:pos="1361"/>
      </w:tabs>
    </w:pPr>
  </w:style>
  <w:style w:type="paragraph" w:styleId="ListBullet5">
    <w:name w:val="List Bullet 5"/>
    <w:basedOn w:val="List5"/>
    <w:rsid w:val="0023168E"/>
    <w:pPr>
      <w:numPr>
        <w:numId w:val="4"/>
      </w:numPr>
    </w:pPr>
  </w:style>
  <w:style w:type="paragraph" w:styleId="ListContinue2">
    <w:name w:val="List Continue 2"/>
    <w:basedOn w:val="List2"/>
    <w:rsid w:val="0023168E"/>
    <w:pPr>
      <w:ind w:firstLine="0"/>
    </w:pPr>
  </w:style>
  <w:style w:type="paragraph" w:styleId="ListContinue3">
    <w:name w:val="List Continue 3"/>
    <w:basedOn w:val="List3"/>
    <w:rsid w:val="0023168E"/>
    <w:pPr>
      <w:ind w:left="1021" w:firstLine="0"/>
    </w:pPr>
  </w:style>
  <w:style w:type="paragraph" w:styleId="ListContinue4">
    <w:name w:val="List Continue 4"/>
    <w:basedOn w:val="List4"/>
    <w:rsid w:val="0023168E"/>
    <w:pPr>
      <w:ind w:firstLine="0"/>
    </w:pPr>
  </w:style>
  <w:style w:type="paragraph" w:styleId="ListContinue5">
    <w:name w:val="List Continue 5"/>
    <w:basedOn w:val="List5"/>
    <w:rsid w:val="0023168E"/>
    <w:pPr>
      <w:ind w:firstLine="0"/>
    </w:pPr>
  </w:style>
  <w:style w:type="paragraph" w:styleId="ListNumber3">
    <w:name w:val="List Number 3"/>
    <w:basedOn w:val="List3"/>
    <w:rsid w:val="0023168E"/>
    <w:pPr>
      <w:numPr>
        <w:numId w:val="5"/>
      </w:numPr>
    </w:pPr>
  </w:style>
  <w:style w:type="paragraph" w:styleId="ListNumber4">
    <w:name w:val="List Number 4"/>
    <w:basedOn w:val="List4"/>
    <w:rsid w:val="0023168E"/>
    <w:pPr>
      <w:numPr>
        <w:numId w:val="6"/>
      </w:numPr>
    </w:pPr>
  </w:style>
  <w:style w:type="paragraph" w:styleId="ListNumber5">
    <w:name w:val="List Number 5"/>
    <w:basedOn w:val="List5"/>
    <w:rsid w:val="0023168E"/>
    <w:pPr>
      <w:numPr>
        <w:numId w:val="7"/>
      </w:numPr>
    </w:pPr>
  </w:style>
  <w:style w:type="paragraph" w:styleId="BlockText">
    <w:name w:val="Block Text"/>
    <w:basedOn w:val="Normal"/>
    <w:rsid w:val="0023168E"/>
    <w:pPr>
      <w:spacing w:after="120"/>
      <w:ind w:left="1440" w:right="1440"/>
    </w:pPr>
  </w:style>
  <w:style w:type="character" w:customStyle="1" w:styleId="Subscript">
    <w:name w:val="Subscript"/>
    <w:basedOn w:val="DefaultParagraphFont"/>
    <w:rsid w:val="0023168E"/>
    <w:rPr>
      <w:sz w:val="16"/>
      <w:vertAlign w:val="subscript"/>
    </w:rPr>
  </w:style>
  <w:style w:type="character" w:customStyle="1" w:styleId="Superscript">
    <w:name w:val="Superscript"/>
    <w:basedOn w:val="DefaultParagraphFont"/>
    <w:rsid w:val="0023168E"/>
    <w:rPr>
      <w:sz w:val="16"/>
      <w:vertAlign w:val="superscript"/>
    </w:rPr>
  </w:style>
  <w:style w:type="character" w:customStyle="1" w:styleId="Symbols">
    <w:name w:val="Symbols"/>
    <w:basedOn w:val="DefaultParagraphFont"/>
    <w:rsid w:val="0023168E"/>
    <w:rPr>
      <w:rFonts w:ascii="Symbol" w:hAnsi="Symbol"/>
    </w:rPr>
  </w:style>
  <w:style w:type="character" w:customStyle="1" w:styleId="MenuOptions">
    <w:name w:val="Menu Options"/>
    <w:basedOn w:val="DefaultParagraphFont"/>
    <w:rsid w:val="0023168E"/>
    <w:rPr>
      <w:rFonts w:ascii="Arial Narrow" w:hAnsi="Arial Narrow"/>
      <w:smallCaps/>
    </w:rPr>
  </w:style>
  <w:style w:type="character" w:customStyle="1" w:styleId="Buttons">
    <w:name w:val="Buttons"/>
    <w:basedOn w:val="DefaultParagraphFont"/>
    <w:rsid w:val="0023168E"/>
    <w:rPr>
      <w:b/>
    </w:rPr>
  </w:style>
  <w:style w:type="character" w:customStyle="1" w:styleId="Underlined">
    <w:name w:val="Underlined"/>
    <w:basedOn w:val="DefaultParagraphFont"/>
    <w:rsid w:val="0023168E"/>
    <w:rPr>
      <w:u w:val="single"/>
    </w:rPr>
  </w:style>
  <w:style w:type="paragraph" w:customStyle="1" w:styleId="TableBodyTextRight">
    <w:name w:val="Table Body Text Right"/>
    <w:basedOn w:val="TableBodyText"/>
    <w:rsid w:val="0023168E"/>
    <w:pPr>
      <w:widowControl w:val="0"/>
      <w:autoSpaceDE w:val="0"/>
      <w:autoSpaceDN w:val="0"/>
      <w:adjustRightInd w:val="0"/>
      <w:jc w:val="right"/>
    </w:pPr>
    <w:rPr>
      <w:rFonts w:cs="Arial"/>
      <w:szCs w:val="18"/>
    </w:rPr>
  </w:style>
  <w:style w:type="paragraph" w:customStyle="1" w:styleId="CopyrightText">
    <w:name w:val="Copyright Text"/>
    <w:basedOn w:val="BodyText"/>
    <w:rsid w:val="0023168E"/>
    <w:rPr>
      <w:sz w:val="18"/>
    </w:rPr>
  </w:style>
  <w:style w:type="paragraph" w:customStyle="1" w:styleId="BodySmallRight">
    <w:name w:val="Body Small Right"/>
    <w:basedOn w:val="BodyTextRight"/>
    <w:rsid w:val="0023168E"/>
    <w:rPr>
      <w:sz w:val="18"/>
      <w:szCs w:val="18"/>
    </w:rPr>
  </w:style>
  <w:style w:type="paragraph" w:customStyle="1" w:styleId="MarginEdition">
    <w:name w:val="Margin Edition"/>
    <w:basedOn w:val="MarginNote"/>
    <w:rsid w:val="0023168E"/>
    <w:pPr>
      <w:spacing w:before="0" w:after="0"/>
    </w:pPr>
    <w:rPr>
      <w:rFonts w:ascii="Times New Roman" w:hAnsi="Times New Roman"/>
      <w:color w:val="999999"/>
    </w:rPr>
  </w:style>
  <w:style w:type="paragraph" w:customStyle="1" w:styleId="Spacer">
    <w:name w:val="Spacer"/>
    <w:basedOn w:val="Normal"/>
    <w:rsid w:val="0023168E"/>
    <w:rPr>
      <w:sz w:val="2"/>
      <w:szCs w:val="2"/>
    </w:rPr>
  </w:style>
  <w:style w:type="character" w:customStyle="1" w:styleId="Small">
    <w:name w:val="Small"/>
    <w:basedOn w:val="DefaultParagraphFont"/>
    <w:rsid w:val="0023168E"/>
    <w:rPr>
      <w:sz w:val="16"/>
    </w:rPr>
  </w:style>
  <w:style w:type="paragraph" w:customStyle="1" w:styleId="WideTable">
    <w:name w:val="Wide Table"/>
    <w:basedOn w:val="Normal"/>
    <w:rsid w:val="0023168E"/>
    <w:pPr>
      <w:ind w:left="-1418"/>
    </w:pPr>
    <w:rPr>
      <w:sz w:val="2"/>
      <w:szCs w:val="2"/>
    </w:rPr>
  </w:style>
  <w:style w:type="character" w:styleId="PageNumber">
    <w:name w:val="page number"/>
    <w:basedOn w:val="DefaultParagraphFont"/>
    <w:rsid w:val="0023168E"/>
  </w:style>
  <w:style w:type="paragraph" w:styleId="Quote">
    <w:name w:val="Quote"/>
    <w:basedOn w:val="Heading1"/>
    <w:link w:val="QuoteChar"/>
    <w:qFormat/>
    <w:rsid w:val="0023168E"/>
    <w:rPr>
      <w:b w:val="0"/>
      <w:sz w:val="72"/>
      <w:szCs w:val="72"/>
      <w:lang w:val="en-NZ"/>
    </w:rPr>
  </w:style>
  <w:style w:type="character" w:customStyle="1" w:styleId="QuoteChar">
    <w:name w:val="Quote Char"/>
    <w:basedOn w:val="DefaultParagraphFont"/>
    <w:link w:val="Quote"/>
    <w:rsid w:val="00231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68E"/>
    <w:pPr>
      <w:pageBreakBefore/>
    </w:pPr>
  </w:style>
  <w:style w:type="paragraph" w:customStyle="1" w:styleId="Border">
    <w:name w:val="Border"/>
    <w:basedOn w:val="Normal"/>
    <w:qFormat/>
    <w:rsid w:val="00231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68E"/>
    <w:rPr>
      <w:b/>
      <w:bCs/>
      <w:i/>
      <w:iCs/>
      <w:color w:val="auto"/>
    </w:rPr>
  </w:style>
  <w:style w:type="paragraph" w:styleId="IntenseQuote">
    <w:name w:val="Intense Quote"/>
    <w:basedOn w:val="Normal"/>
    <w:next w:val="Normal"/>
    <w:link w:val="IntenseQuoteChar"/>
    <w:uiPriority w:val="30"/>
    <w:qFormat/>
    <w:rsid w:val="00231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68E"/>
    <w:rPr>
      <w:smallCaps/>
      <w:color w:val="auto"/>
      <w:u w:val="single"/>
    </w:rPr>
  </w:style>
  <w:style w:type="character" w:styleId="IntenseReference">
    <w:name w:val="Intense Reference"/>
    <w:basedOn w:val="DefaultParagraphFont"/>
    <w:uiPriority w:val="32"/>
    <w:qFormat/>
    <w:rsid w:val="0023168E"/>
    <w:rPr>
      <w:b/>
      <w:bCs/>
      <w:smallCaps/>
      <w:color w:val="auto"/>
      <w:spacing w:val="5"/>
      <w:u w:val="single"/>
    </w:rPr>
  </w:style>
  <w:style w:type="paragraph" w:customStyle="1" w:styleId="2ColumnHeading">
    <w:name w:val="2Column Heading"/>
    <w:basedOn w:val="BodyText"/>
    <w:qFormat/>
    <w:rsid w:val="0023168E"/>
    <w:pPr>
      <w:spacing w:after="60"/>
      <w:ind w:left="-2268"/>
    </w:pPr>
    <w:rPr>
      <w:b/>
    </w:rPr>
  </w:style>
  <w:style w:type="paragraph" w:customStyle="1" w:styleId="Heading1TOC">
    <w:name w:val="Heading1 TOC"/>
    <w:basedOn w:val="Normal"/>
    <w:qFormat/>
    <w:rsid w:val="0023168E"/>
    <w:pPr>
      <w:spacing w:before="240" w:after="120"/>
    </w:pPr>
    <w:rPr>
      <w:rFonts w:ascii="Times New Roman" w:hAnsi="Times New Roman"/>
      <w:b/>
      <w:sz w:val="32"/>
    </w:rPr>
  </w:style>
  <w:style w:type="paragraph" w:customStyle="1" w:styleId="Heading2TOC">
    <w:name w:val="Heading2 TOC"/>
    <w:basedOn w:val="Normal"/>
    <w:qFormat/>
    <w:rsid w:val="0023168E"/>
    <w:pPr>
      <w:spacing w:before="240" w:after="60"/>
    </w:pPr>
    <w:rPr>
      <w:rFonts w:ascii="Times New Roman" w:hAnsi="Times New Roman"/>
      <w:b/>
      <w:sz w:val="28"/>
    </w:rPr>
  </w:style>
  <w:style w:type="character" w:customStyle="1" w:styleId="Underline">
    <w:name w:val="Underline"/>
    <w:basedOn w:val="DefaultParagraphFont"/>
    <w:qFormat/>
    <w:rsid w:val="0023168E"/>
    <w:rPr>
      <w:u w:val="single"/>
    </w:rPr>
  </w:style>
  <w:style w:type="character" w:customStyle="1" w:styleId="BoldandItalics">
    <w:name w:val="Bold and Italics"/>
    <w:qFormat/>
    <w:rsid w:val="0023168E"/>
    <w:rPr>
      <w:b/>
      <w:i/>
      <w:u w:val="none"/>
    </w:rPr>
  </w:style>
  <w:style w:type="paragraph" w:styleId="BalloonText">
    <w:name w:val="Balloon Text"/>
    <w:basedOn w:val="Normal"/>
    <w:link w:val="BalloonTextChar"/>
    <w:rsid w:val="0023168E"/>
    <w:rPr>
      <w:rFonts w:ascii="Tahoma" w:hAnsi="Tahoma" w:cs="Tahoma"/>
      <w:sz w:val="16"/>
      <w:szCs w:val="16"/>
    </w:rPr>
  </w:style>
  <w:style w:type="character" w:customStyle="1" w:styleId="BalloonTextChar">
    <w:name w:val="Balloon Text Char"/>
    <w:basedOn w:val="DefaultParagraphFont"/>
    <w:link w:val="BalloonText"/>
    <w:rsid w:val="00231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68E"/>
    <w:rPr>
      <w:b/>
      <w:color w:val="660033"/>
      <w:spacing w:val="0"/>
    </w:rPr>
  </w:style>
  <w:style w:type="paragraph" w:customStyle="1" w:styleId="Nameditemlist">
    <w:name w:val="Named item list"/>
    <w:basedOn w:val="BodyText"/>
    <w:qFormat/>
    <w:rsid w:val="0023168E"/>
    <w:pPr>
      <w:tabs>
        <w:tab w:val="left" w:pos="2835"/>
      </w:tabs>
      <w:ind w:left="2835" w:hanging="2835"/>
    </w:pPr>
  </w:style>
  <w:style w:type="paragraph" w:customStyle="1" w:styleId="BodyTextnopadding">
    <w:name w:val="Body Text no padding"/>
    <w:basedOn w:val="BodyText"/>
    <w:qFormat/>
    <w:rsid w:val="0023168E"/>
    <w:pPr>
      <w:spacing w:before="0" w:after="0"/>
    </w:pPr>
  </w:style>
  <w:style w:type="paragraph" w:customStyle="1" w:styleId="BodyTextBold">
    <w:name w:val="Body Text Bold"/>
    <w:basedOn w:val="BodyText"/>
    <w:qFormat/>
    <w:rsid w:val="0023168E"/>
    <w:rPr>
      <w:b/>
    </w:rPr>
  </w:style>
  <w:style w:type="character" w:styleId="Hyperlink">
    <w:name w:val="Hyperlink"/>
    <w:basedOn w:val="DefaultParagraphFont"/>
    <w:uiPriority w:val="99"/>
    <w:unhideWhenUsed/>
    <w:rsid w:val="005F6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7310</Characters>
  <Application>Microsoft Office Word</Application>
  <DocSecurity>0</DocSecurity>
  <Lines>270</Lines>
  <Paragraphs>161</Paragraphs>
  <ScaleCrop>false</ScaleCrop>
  <Company>Author-it Software Corporation Ltd.</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UETDRDU002 Inspect underground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