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DEC" w:rsidP="004A2D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UETDRDS021 Design public lighting systems</w:t>
      </w:r>
      <w:r>
        <w:fldChar w:fldCharType="end"/>
      </w:r>
    </w:p>
    <w:p w:rsidR="004A2DEC" w:rsidP="004A2DEC">
      <w:pPr>
        <w:pStyle w:val="Version"/>
        <w:sectPr w:rsidSect="003C40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017" w:rsidP="003C4017">
      <w:pPr>
        <w:pStyle w:val="SuperHeading"/>
      </w:pPr>
      <w:r w:rsidRPr="003C4017">
        <w:t>UETDRDS021 Design public lighting systems</w:t>
      </w:r>
    </w:p>
    <w:p w:rsidR="00000000" w:rsidRPr="003C4017" w:rsidP="003C4017">
      <w:pPr>
        <w:pStyle w:val="Heading1"/>
      </w:pPr>
      <w:bookmarkStart w:id="1" w:name="O_1236679"/>
      <w:bookmarkEnd w:id="1"/>
      <w:r w:rsidRPr="003C40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C4017" w:rsidP="003C4017">
      <w:pPr>
        <w:pStyle w:val="NoPaddingFontSize1"/>
      </w:pPr>
    </w:p>
    <w:p w:rsidR="00000000" w:rsidRPr="003C4017" w:rsidP="003C4017">
      <w:pPr>
        <w:pStyle w:val="AllowPageBreak"/>
      </w:pPr>
    </w:p>
    <w:p w:rsidR="00000000" w:rsidRPr="003C4017" w:rsidP="003C4017">
      <w:pPr>
        <w:pStyle w:val="Heading1"/>
      </w:pPr>
      <w:bookmarkStart w:id="2" w:name="O_1236680"/>
      <w:bookmarkEnd w:id="2"/>
      <w:r w:rsidRPr="003C40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t>This unit includes the skills and knowledge required t</w:t>
            </w:r>
            <w:r w:rsidRPr="003C4017">
              <w:t>o design public lighting systems in the electricity supply industry (ESI).</w:t>
            </w:r>
          </w:p>
          <w:p w:rsidR="00000000" w:rsidRPr="003C4017" w:rsidP="003C4017">
            <w:pPr>
              <w:pStyle w:val="BodyText"/>
            </w:pPr>
            <w:r w:rsidRPr="003C4017">
              <w:t>It includes basic public lighting principles, including layout, principles of colour, behaviour of light, and factors that affect illumination.</w:t>
            </w:r>
          </w:p>
          <w:p w:rsidR="00000000" w:rsidRPr="003C4017" w:rsidP="003C4017">
            <w:pPr>
              <w:pStyle w:val="BodyText"/>
            </w:pPr>
            <w:r w:rsidRPr="003C4017">
              <w:t>It also includes factors affecting ex</w:t>
            </w:r>
            <w:r w:rsidRPr="003C4017">
              <w:t>ternal lighting design, calculation of light output and illuminance, and special lighting situations.</w:t>
            </w:r>
          </w:p>
          <w:p w:rsidR="00000000" w:rsidRPr="003C4017" w:rsidP="003C4017">
            <w:pPr>
              <w:pStyle w:val="BodyText"/>
            </w:pPr>
            <w:r w:rsidRPr="003C4017">
              <w:t>The application of the skills and knowledge described in this unit may require a licence/registration to practice in the workplace.</w:t>
            </w:r>
          </w:p>
          <w:p w:rsidR="00000000" w:rsidRPr="003C4017" w:rsidP="003C4017">
            <w:pPr>
              <w:pStyle w:val="BodyText"/>
            </w:pPr>
            <w:r w:rsidRPr="003C4017">
              <w:t>Other conditions may a</w:t>
            </w:r>
            <w:r w:rsidRPr="003C4017">
              <w:t>lso apply under state and territory legislative and regulatory licensing requirements which must be confirmed prior to commencing this unit.</w:t>
            </w:r>
          </w:p>
        </w:tc>
      </w:tr>
    </w:tbl>
    <w:p w:rsidR="00000000" w:rsidRPr="003C4017" w:rsidP="003C4017">
      <w:pPr>
        <w:pStyle w:val="NoPaddingFontSize1"/>
      </w:pPr>
    </w:p>
    <w:p w:rsidR="00000000" w:rsidRPr="003C4017" w:rsidP="003C4017">
      <w:pPr>
        <w:pStyle w:val="AllowPageBreak"/>
      </w:pPr>
    </w:p>
    <w:p w:rsidR="00000000" w:rsidRPr="003C4017" w:rsidP="003C4017">
      <w:pPr>
        <w:pStyle w:val="Heading1"/>
      </w:pPr>
      <w:bookmarkStart w:id="3" w:name="O_1236681"/>
      <w:bookmarkEnd w:id="3"/>
      <w:r w:rsidRPr="003C40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t xml:space="preserve">UEECD0007 Apply work health and safety regulations, codes and practices in </w:t>
            </w:r>
            <w:r w:rsidRPr="003C4017">
              <w:t>the workplace</w:t>
            </w:r>
          </w:p>
          <w:p w:rsidR="00000000" w:rsidRPr="003C4017" w:rsidP="003C4017">
            <w:pPr>
              <w:pStyle w:val="BodyText"/>
            </w:pPr>
            <w:r w:rsidRPr="003C4017">
              <w:t>UEECD0044 Solve problems in multiple path circuits</w:t>
            </w:r>
          </w:p>
          <w:p w:rsidR="00000000" w:rsidRPr="003C4017" w:rsidP="003C4017">
            <w:pPr>
              <w:pStyle w:val="BodyText"/>
            </w:pPr>
            <w:r w:rsidRPr="003C4017">
              <w:t>UEECD0046 Solve problems in single path circuits</w:t>
            </w:r>
          </w:p>
          <w:p w:rsidR="00000000" w:rsidRPr="003C4017" w:rsidP="003C4017">
            <w:pPr>
              <w:pStyle w:val="BodyText"/>
            </w:pPr>
            <w:r w:rsidRPr="003C4017">
              <w:t>UEECD0051 Use drawings, diagrams, schedules, standards, codes and specifications</w:t>
            </w:r>
          </w:p>
          <w:p w:rsidR="00000000" w:rsidRPr="003C4017" w:rsidP="003C4017">
            <w:pPr>
              <w:pStyle w:val="BodyText"/>
            </w:pPr>
            <w:r w:rsidRPr="003C4017">
              <w:t>UEEEL0020 Solve problems in low voltage a.c. circuits</w:t>
            </w:r>
          </w:p>
          <w:p w:rsidR="00000000" w:rsidRPr="003C4017" w:rsidP="003C4017">
            <w:pPr>
              <w:pStyle w:val="BodyText"/>
            </w:pPr>
            <w:r w:rsidRPr="003C4017">
              <w:t>UEEEL00</w:t>
            </w:r>
            <w:r w:rsidRPr="003C4017">
              <w:t>21 Solve problems in magnetic and electromagnetic devices</w:t>
            </w:r>
          </w:p>
          <w:p w:rsidR="00000000" w:rsidRPr="003C4017" w:rsidP="003C4017">
            <w:pPr>
              <w:pStyle w:val="BodyText"/>
            </w:pPr>
            <w:r w:rsidRPr="003C4017">
              <w:t>UETDREL005 Work safely in the vicinity of live electrical apparatus</w:t>
            </w:r>
          </w:p>
        </w:tc>
      </w:tr>
    </w:tbl>
    <w:p w:rsidR="00000000" w:rsidRPr="003C4017" w:rsidP="003C4017">
      <w:pPr>
        <w:pStyle w:val="NoPaddingFontSize1"/>
      </w:pPr>
    </w:p>
    <w:p w:rsidR="00000000" w:rsidRPr="003C4017" w:rsidP="003C4017">
      <w:pPr>
        <w:pStyle w:val="AllowPageBreak"/>
      </w:pPr>
    </w:p>
    <w:p w:rsidR="00000000" w:rsidRPr="003C4017" w:rsidP="003C4017">
      <w:pPr>
        <w:pStyle w:val="Heading1"/>
      </w:pPr>
      <w:bookmarkStart w:id="4" w:name="O_1236682"/>
      <w:bookmarkEnd w:id="4"/>
      <w:r w:rsidRPr="003C401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t>Design</w:t>
            </w:r>
          </w:p>
        </w:tc>
      </w:tr>
    </w:tbl>
    <w:p w:rsidR="00000000" w:rsidRPr="003C4017" w:rsidP="003C4017">
      <w:pPr>
        <w:pStyle w:val="NoPaddingFontSize1"/>
      </w:pPr>
    </w:p>
    <w:p w:rsidR="00000000" w:rsidRPr="003C4017" w:rsidP="003C4017">
      <w:pPr>
        <w:pStyle w:val="AllowPageBreak"/>
      </w:pPr>
    </w:p>
    <w:p w:rsidR="00000000" w:rsidRPr="003C4017" w:rsidP="003C4017">
      <w:pPr>
        <w:pStyle w:val="Heading1"/>
      </w:pPr>
      <w:bookmarkStart w:id="5" w:name="O_1236683"/>
      <w:bookmarkEnd w:id="5"/>
      <w:r w:rsidRPr="003C40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t>Not applicable.</w:t>
            </w:r>
          </w:p>
        </w:tc>
      </w:tr>
    </w:tbl>
    <w:p w:rsidR="00000000" w:rsidRPr="003C4017" w:rsidP="003C4017">
      <w:pPr>
        <w:pStyle w:val="NoPaddingFontSize1"/>
      </w:pPr>
    </w:p>
    <w:p w:rsidR="00000000" w:rsidRPr="003C4017" w:rsidP="003C4017">
      <w:pPr>
        <w:pStyle w:val="AllowPageBreak"/>
      </w:pPr>
    </w:p>
    <w:p w:rsidR="00000000" w:rsidRPr="003C4017" w:rsidP="003C4017">
      <w:pPr>
        <w:pStyle w:val="Heading1"/>
      </w:pPr>
      <w:bookmarkStart w:id="6" w:name="O_1236684"/>
      <w:bookmarkEnd w:id="6"/>
      <w:r w:rsidRPr="003C401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PERFORMANCE CRITERIA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>Performance criteria describe the performance needed to demonstrate achievement of the element.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rPr>
                <w:rStyle w:val="SpecialBold"/>
              </w:rPr>
              <w:t>Prepare to design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>Project requirements are determined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 xml:space="preserve">Design specifications are determined in accordance with workplace requirements 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>Tools, equipment and personal protective equipment (PPE) required for site inspections are determined, obtained and confirmed in working order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>Requirements for site inspections are determined in accordance with workplace requirements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 xml:space="preserve">Work is </w:t>
            </w:r>
            <w:r w:rsidRPr="003C4017">
              <w:t>prioritised and sequenced for completion in accordance with workplace requirements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rPr>
                <w:rStyle w:val="SpecialBold"/>
              </w:rPr>
              <w:t>Design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>Site inspection is performed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>Public lighting system is designed in accordance with workplace requirements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>Sustainable energy principles are used to evaluate and determine best outcomes in accordance with workplace requirements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>Environmental sustainability principles are used to evaluate and determine best outcomes in accordance with workplace requiremen</w:t>
            </w:r>
            <w:r w:rsidRPr="003C4017">
              <w:t>ts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 xml:space="preserve">Design is checked for compliance against legislation, regulations, standards and codes of practice 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>Health and safety risks are identified and minimised or eliminated by using safety and control measures in the design process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>Quality checks of work are undertaken in accordance with workplace requirements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t>Completed work is checked against project and workplace requirements</w:t>
            </w:r>
          </w:p>
        </w:tc>
      </w:tr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017">
            <w:pPr>
              <w:pStyle w:val="BodyText"/>
              <w:rPr>
                <w:lang w:val="en-NZ"/>
              </w:rPr>
            </w:pPr>
            <w:r w:rsidRPr="003C401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t>Work records, reports and documentation are completed, approv</w:t>
            </w:r>
            <w:r w:rsidRPr="003C4017">
              <w:t>ed and appropriate personnel notified in accordance with workplace requirements</w:t>
            </w:r>
          </w:p>
        </w:tc>
      </w:tr>
    </w:tbl>
    <w:p w:rsidR="00000000" w:rsidRPr="003C4017" w:rsidP="003C4017">
      <w:pPr>
        <w:pStyle w:val="NoPaddingFontSize1"/>
      </w:pPr>
    </w:p>
    <w:p w:rsidR="00000000" w:rsidRPr="003C4017" w:rsidP="003C4017">
      <w:pPr>
        <w:pStyle w:val="AllowPageBreak"/>
      </w:pPr>
    </w:p>
    <w:p w:rsidR="00000000" w:rsidRPr="003C4017" w:rsidP="003C4017">
      <w:pPr>
        <w:pStyle w:val="Heading1"/>
      </w:pPr>
      <w:bookmarkStart w:id="7" w:name="O_1236685"/>
      <w:bookmarkEnd w:id="7"/>
      <w:r w:rsidRPr="003C401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t>Foundation skills essential to performance are explicit in the performance criteria of this unit of competency.</w:t>
            </w:r>
          </w:p>
        </w:tc>
      </w:tr>
    </w:tbl>
    <w:p w:rsidR="00000000" w:rsidRPr="003C4017" w:rsidP="003C4017">
      <w:pPr>
        <w:pStyle w:val="NoPaddingFontSize1"/>
      </w:pPr>
    </w:p>
    <w:p w:rsidR="00000000" w:rsidRPr="003C4017" w:rsidP="003C4017">
      <w:pPr>
        <w:pStyle w:val="AllowPageBreak"/>
      </w:pPr>
    </w:p>
    <w:p w:rsidR="00000000" w:rsidRPr="003C4017" w:rsidP="003C4017">
      <w:pPr>
        <w:pStyle w:val="Heading1"/>
      </w:pPr>
      <w:bookmarkStart w:id="8" w:name="O_1236686"/>
      <w:bookmarkEnd w:id="8"/>
      <w:r w:rsidRPr="003C40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t>Range is restricted to essential operating conditions and any other variables essential to the work environment.</w:t>
            </w:r>
          </w:p>
          <w:p w:rsidR="00000000" w:rsidRPr="003C4017" w:rsidP="003C4017">
            <w:pPr>
              <w:pStyle w:val="BodyText"/>
            </w:pPr>
            <w:r w:rsidRPr="003C4017">
              <w:t>Non-essential conditions may be found in the UET Transmission, Distribution and Rail Sector Training Package Companion Volu</w:t>
            </w:r>
            <w:r w:rsidRPr="003C4017">
              <w:t>me Implementation Guide.</w:t>
            </w:r>
          </w:p>
        </w:tc>
      </w:tr>
    </w:tbl>
    <w:p w:rsidR="00000000" w:rsidRPr="003C4017" w:rsidP="003C4017">
      <w:pPr>
        <w:pStyle w:val="NoPaddingFontSize1"/>
      </w:pPr>
    </w:p>
    <w:p w:rsidR="00000000" w:rsidRPr="003C4017" w:rsidP="003C4017">
      <w:pPr>
        <w:pStyle w:val="AllowPageBreak"/>
      </w:pPr>
    </w:p>
    <w:p w:rsidR="00000000" w:rsidRPr="003C4017" w:rsidP="003C4017">
      <w:pPr>
        <w:pStyle w:val="Heading1"/>
      </w:pPr>
      <w:bookmarkStart w:id="9" w:name="O_1236687"/>
      <w:bookmarkEnd w:id="9"/>
      <w:r w:rsidRPr="003C40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40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017" w:rsidP="003C4017">
            <w:pPr>
              <w:pStyle w:val="BodyText"/>
            </w:pPr>
            <w:r w:rsidRPr="003C4017">
              <w:t>This unit replaces and is not equivalent to UETDRDS004 Design power system public lighting systems.</w:t>
            </w:r>
          </w:p>
        </w:tc>
      </w:tr>
    </w:tbl>
    <w:p w:rsidR="00000000" w:rsidRPr="003C4017" w:rsidP="003C4017">
      <w:pPr>
        <w:pStyle w:val="NoPaddingFontSize1"/>
      </w:pPr>
    </w:p>
    <w:p w:rsidR="00000000" w:rsidRPr="003C4017" w:rsidP="003C4017">
      <w:pPr>
        <w:pStyle w:val="AllowPageBreak"/>
      </w:pPr>
    </w:p>
    <w:p w:rsidR="00000000" w:rsidRPr="003C4017" w:rsidP="003C4017">
      <w:pPr>
        <w:pStyle w:val="Heading1"/>
      </w:pPr>
      <w:bookmarkStart w:id="10" w:name="O_1236694"/>
      <w:bookmarkEnd w:id="10"/>
      <w:r w:rsidRPr="003C4017">
        <w:t>Links</w:t>
      </w:r>
    </w:p>
    <w:p w:rsidR="00000000" w:rsidRPr="003C4017" w:rsidP="004A2DEC">
      <w:pPr>
        <w:pStyle w:val="BodyText"/>
      </w:pPr>
      <w:r w:rsidRPr="003C4017">
        <w:t>Companion Volume Implementation Guides are found in VETNet</w:t>
      </w:r>
      <w:r w:rsidRPr="003C4017">
        <w:t xml:space="preserve">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E58A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C4017" w:rsidP="003C4017"/>
    <w:sectPr w:rsidSect="003C40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0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017" w:rsidRPr="004A2DEC" w:rsidP="004A2D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0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EC" w:rsidP="003C4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2DEC" w:rsidP="003C4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2DEC" w:rsidP="003C40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0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017" w:rsidRPr="004A2DEC" w:rsidP="004A2D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0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EC" w:rsidRPr="002D2AF8" w:rsidP="003C4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UETDRDS021 Design public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4A2DEC" w:rsidP="003C40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0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0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0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0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0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0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0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0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0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0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0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017"/>
  </w:style>
  <w:style w:type="character" w:customStyle="1" w:styleId="Heading1Char">
    <w:name w:val="Heading 1 Char"/>
    <w:basedOn w:val="DefaultParagraphFont"/>
    <w:link w:val="Heading1"/>
    <w:rsid w:val="003C40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0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0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4017"/>
    <w:rPr>
      <w:b/>
      <w:spacing w:val="0"/>
    </w:rPr>
  </w:style>
  <w:style w:type="paragraph" w:customStyle="1" w:styleId="SuperHeading">
    <w:name w:val="SuperHeading"/>
    <w:basedOn w:val="Normal"/>
    <w:rsid w:val="003C40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0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40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0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0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0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0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0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0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0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0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0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0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0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0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0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0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40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40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40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0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0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40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40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0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0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0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0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0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0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0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0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4017"/>
    <w:rPr>
      <w:i/>
    </w:rPr>
  </w:style>
  <w:style w:type="paragraph" w:styleId="Caption">
    <w:name w:val="caption"/>
    <w:basedOn w:val="BodyText"/>
    <w:next w:val="Normal"/>
    <w:qFormat/>
    <w:rsid w:val="003C40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0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0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017"/>
  </w:style>
  <w:style w:type="paragraph" w:styleId="TableofFigures">
    <w:name w:val="table of figures"/>
    <w:basedOn w:val="Normal"/>
    <w:next w:val="Normal"/>
    <w:semiHidden/>
    <w:rsid w:val="003C40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0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4017"/>
    <w:rPr>
      <w:rFonts w:ascii="Wingdings" w:hAnsi="Wingdings"/>
    </w:rPr>
  </w:style>
  <w:style w:type="paragraph" w:customStyle="1" w:styleId="TableHeading">
    <w:name w:val="Table Heading"/>
    <w:basedOn w:val="HeadingBase"/>
    <w:rsid w:val="003C40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017"/>
    <w:rPr>
      <w:color w:val="0033CC"/>
      <w:u w:val="none"/>
    </w:rPr>
  </w:style>
  <w:style w:type="paragraph" w:customStyle="1" w:styleId="BodyTextRight">
    <w:name w:val="Body Text Right"/>
    <w:basedOn w:val="BodyText"/>
    <w:rsid w:val="003C40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0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0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0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0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0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017"/>
    <w:rPr>
      <w:sz w:val="32"/>
    </w:rPr>
  </w:style>
  <w:style w:type="paragraph" w:customStyle="1" w:styleId="HeadingProcedure">
    <w:name w:val="Heading Procedure"/>
    <w:basedOn w:val="HeadingBase"/>
    <w:next w:val="Normal"/>
    <w:rsid w:val="003C40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017"/>
    <w:pPr>
      <w:spacing w:before="60" w:after="60"/>
    </w:pPr>
  </w:style>
  <w:style w:type="paragraph" w:styleId="ListContinue">
    <w:name w:val="List Continue"/>
    <w:basedOn w:val="List"/>
    <w:rsid w:val="003C4017"/>
    <w:pPr>
      <w:ind w:firstLine="0"/>
    </w:pPr>
  </w:style>
  <w:style w:type="paragraph" w:customStyle="1" w:styleId="ListNote">
    <w:name w:val="List Note"/>
    <w:basedOn w:val="List"/>
    <w:rsid w:val="003C40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0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0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017"/>
    <w:rPr>
      <w:rFonts w:ascii="Courier New" w:hAnsi="Courier New"/>
    </w:rPr>
  </w:style>
  <w:style w:type="paragraph" w:customStyle="1" w:styleId="NoteBullet">
    <w:name w:val="Note Bullet"/>
    <w:basedOn w:val="Note"/>
    <w:rsid w:val="003C40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0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0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0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0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40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0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017"/>
    <w:rPr>
      <w:b/>
      <w:smallCaps/>
    </w:rPr>
  </w:style>
  <w:style w:type="paragraph" w:customStyle="1" w:styleId="TableListNumber">
    <w:name w:val="Table List Number"/>
    <w:basedOn w:val="ListNumber"/>
    <w:rsid w:val="003C40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0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017"/>
    <w:pPr>
      <w:numPr>
        <w:numId w:val="7"/>
      </w:numPr>
    </w:pPr>
  </w:style>
  <w:style w:type="paragraph" w:customStyle="1" w:styleId="ListAlpha2">
    <w:name w:val="List Alpha 2"/>
    <w:basedOn w:val="List2"/>
    <w:rsid w:val="003C4017"/>
    <w:pPr>
      <w:numPr>
        <w:numId w:val="6"/>
      </w:numPr>
    </w:pPr>
  </w:style>
  <w:style w:type="paragraph" w:styleId="List2">
    <w:name w:val="List 2"/>
    <w:basedOn w:val="BodyText"/>
    <w:rsid w:val="003C40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0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0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0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0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0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4017"/>
    <w:pPr>
      <w:numPr>
        <w:numId w:val="2"/>
      </w:numPr>
    </w:pPr>
  </w:style>
  <w:style w:type="paragraph" w:styleId="ListContinue2">
    <w:name w:val="List Continue 2"/>
    <w:basedOn w:val="List2"/>
    <w:rsid w:val="003C4017"/>
    <w:pPr>
      <w:ind w:firstLine="0"/>
    </w:pPr>
  </w:style>
  <w:style w:type="paragraph" w:styleId="ListContinue3">
    <w:name w:val="List Continue 3"/>
    <w:basedOn w:val="List3"/>
    <w:rsid w:val="003C4017"/>
    <w:pPr>
      <w:ind w:left="1021" w:firstLine="0"/>
    </w:pPr>
  </w:style>
  <w:style w:type="paragraph" w:styleId="ListContinue4">
    <w:name w:val="List Continue 4"/>
    <w:basedOn w:val="List4"/>
    <w:rsid w:val="003C4017"/>
    <w:pPr>
      <w:ind w:firstLine="0"/>
    </w:pPr>
  </w:style>
  <w:style w:type="paragraph" w:styleId="ListContinue5">
    <w:name w:val="List Continue 5"/>
    <w:basedOn w:val="List5"/>
    <w:rsid w:val="003C4017"/>
    <w:pPr>
      <w:ind w:firstLine="0"/>
    </w:pPr>
  </w:style>
  <w:style w:type="paragraph" w:styleId="ListNumber3">
    <w:name w:val="List Number 3"/>
    <w:basedOn w:val="List3"/>
    <w:rsid w:val="003C4017"/>
    <w:pPr>
      <w:numPr>
        <w:numId w:val="3"/>
      </w:numPr>
    </w:pPr>
  </w:style>
  <w:style w:type="paragraph" w:styleId="ListNumber4">
    <w:name w:val="List Number 4"/>
    <w:basedOn w:val="List4"/>
    <w:rsid w:val="003C4017"/>
    <w:pPr>
      <w:numPr>
        <w:numId w:val="4"/>
      </w:numPr>
    </w:pPr>
  </w:style>
  <w:style w:type="paragraph" w:styleId="ListNumber5">
    <w:name w:val="List Number 5"/>
    <w:basedOn w:val="List5"/>
    <w:rsid w:val="003C4017"/>
    <w:pPr>
      <w:numPr>
        <w:numId w:val="5"/>
      </w:numPr>
    </w:pPr>
  </w:style>
  <w:style w:type="paragraph" w:styleId="BlockText">
    <w:name w:val="Block Text"/>
    <w:basedOn w:val="Normal"/>
    <w:rsid w:val="003C40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0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017"/>
    <w:rPr>
      <w:sz w:val="16"/>
      <w:vertAlign w:val="superscript"/>
    </w:rPr>
  </w:style>
  <w:style w:type="character" w:customStyle="1" w:styleId="Symbols">
    <w:name w:val="Symbols"/>
    <w:basedOn w:val="DefaultParagraphFont"/>
    <w:rsid w:val="003C4017"/>
    <w:rPr>
      <w:rFonts w:ascii="Symbol" w:hAnsi="Symbol"/>
    </w:rPr>
  </w:style>
  <w:style w:type="character" w:customStyle="1" w:styleId="MenuOptions">
    <w:name w:val="Menu Options"/>
    <w:basedOn w:val="DefaultParagraphFont"/>
    <w:rsid w:val="003C40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017"/>
    <w:rPr>
      <w:b/>
    </w:rPr>
  </w:style>
  <w:style w:type="character" w:customStyle="1" w:styleId="Underlined">
    <w:name w:val="Underlined"/>
    <w:basedOn w:val="DefaultParagraphFont"/>
    <w:rsid w:val="003C4017"/>
    <w:rPr>
      <w:u w:val="single"/>
    </w:rPr>
  </w:style>
  <w:style w:type="paragraph" w:customStyle="1" w:styleId="TableBodyTextRight">
    <w:name w:val="Table Body Text Right"/>
    <w:basedOn w:val="TableBodyText"/>
    <w:rsid w:val="003C40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017"/>
    <w:rPr>
      <w:sz w:val="18"/>
    </w:rPr>
  </w:style>
  <w:style w:type="paragraph" w:customStyle="1" w:styleId="BodySmallRight">
    <w:name w:val="Body Small Right"/>
    <w:basedOn w:val="BodyTextRight"/>
    <w:rsid w:val="003C4017"/>
    <w:rPr>
      <w:sz w:val="18"/>
      <w:szCs w:val="18"/>
    </w:rPr>
  </w:style>
  <w:style w:type="paragraph" w:customStyle="1" w:styleId="MarginEdition">
    <w:name w:val="Margin Edition"/>
    <w:basedOn w:val="MarginNote"/>
    <w:rsid w:val="003C40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017"/>
    <w:rPr>
      <w:sz w:val="2"/>
      <w:szCs w:val="2"/>
    </w:rPr>
  </w:style>
  <w:style w:type="character" w:customStyle="1" w:styleId="Small">
    <w:name w:val="Small"/>
    <w:basedOn w:val="DefaultParagraphFont"/>
    <w:rsid w:val="003C4017"/>
    <w:rPr>
      <w:sz w:val="16"/>
    </w:rPr>
  </w:style>
  <w:style w:type="paragraph" w:customStyle="1" w:styleId="WideTable">
    <w:name w:val="Wide Table"/>
    <w:basedOn w:val="Normal"/>
    <w:rsid w:val="003C40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017"/>
  </w:style>
  <w:style w:type="paragraph" w:styleId="Quote">
    <w:name w:val="Quote"/>
    <w:basedOn w:val="Heading1"/>
    <w:link w:val="QuoteChar"/>
    <w:qFormat/>
    <w:rsid w:val="003C40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0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017"/>
    <w:pPr>
      <w:pageBreakBefore/>
    </w:pPr>
  </w:style>
  <w:style w:type="paragraph" w:customStyle="1" w:styleId="Border">
    <w:name w:val="Border"/>
    <w:basedOn w:val="Normal"/>
    <w:qFormat/>
    <w:rsid w:val="003C40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0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0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0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0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0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0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0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0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017"/>
    <w:rPr>
      <w:u w:val="single"/>
    </w:rPr>
  </w:style>
  <w:style w:type="character" w:customStyle="1" w:styleId="BoldandItalics">
    <w:name w:val="Bold and Italics"/>
    <w:qFormat/>
    <w:rsid w:val="003C4017"/>
    <w:rPr>
      <w:b/>
      <w:i/>
      <w:u w:val="none"/>
    </w:rPr>
  </w:style>
  <w:style w:type="paragraph" w:styleId="BalloonText">
    <w:name w:val="Balloon Text"/>
    <w:basedOn w:val="Normal"/>
    <w:link w:val="BalloonTextChar"/>
    <w:rsid w:val="003C4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0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0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0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0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0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017"/>
    <w:pPr>
      <w:spacing w:before="0" w:after="0"/>
    </w:pPr>
  </w:style>
  <w:style w:type="paragraph" w:customStyle="1" w:styleId="BodyTextBold">
    <w:name w:val="Body Text Bold"/>
    <w:basedOn w:val="BodyText"/>
    <w:qFormat/>
    <w:rsid w:val="003C4017"/>
    <w:rPr>
      <w:b/>
    </w:rPr>
  </w:style>
  <w:style w:type="character" w:styleId="Hyperlink">
    <w:name w:val="Hyperlink"/>
    <w:basedOn w:val="DefaultParagraphFont"/>
    <w:uiPriority w:val="99"/>
    <w:unhideWhenUsed/>
    <w:rsid w:val="004A2D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3567</Characters>
  <Application>Microsoft Office Word</Application>
  <DocSecurity>0</DocSecurity>
  <Lines>155</Lines>
  <Paragraphs>85</Paragraphs>
  <ScaleCrop>false</ScaleCrop>
  <Company>Author-it Software Corporation Ltd.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UETDRDS021 Design public lighting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