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4212" w:rsidP="00ED4212">
      <w:pPr>
        <w:pStyle w:val="Title"/>
      </w:pPr>
      <w:r>
        <w:fldChar w:fldCharType="begin"/>
      </w:r>
      <w:r>
        <w:instrText xml:space="preserve"> TITLE   \* MERGEFORMAT </w:instrText>
      </w:r>
      <w:r>
        <w:fldChar w:fldCharType="separate"/>
      </w:r>
      <w:r>
        <w:t>UETDRDS015 Assess distributed energy resource connections to a distribution network</w:t>
      </w:r>
      <w:r>
        <w:fldChar w:fldCharType="end"/>
      </w:r>
    </w:p>
    <w:p w:rsidR="00ED4212" w:rsidP="00ED4212">
      <w:pPr>
        <w:pStyle w:val="Version"/>
        <w:sectPr w:rsidSect="00C323D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23D5" w:rsidP="00C323D5">
      <w:pPr>
        <w:pStyle w:val="SuperHeading"/>
      </w:pPr>
      <w:r w:rsidRPr="00C323D5">
        <w:t>UETDRDS015 Assess distributed energy resource connections to a distribution network</w:t>
      </w:r>
    </w:p>
    <w:p w:rsidR="00000000" w:rsidRPr="00C323D5" w:rsidP="00C323D5">
      <w:pPr>
        <w:pStyle w:val="Heading1"/>
      </w:pPr>
      <w:bookmarkStart w:id="1" w:name="O_1236565"/>
      <w:bookmarkEnd w:id="1"/>
      <w:r w:rsidRPr="00C323D5">
        <w:t>Modification History</w:t>
      </w:r>
    </w:p>
    <w:tbl>
      <w:tblPr>
        <w:tblW w:w="9497" w:type="dxa"/>
        <w:tblLayout w:type="fixed"/>
        <w:tblCellMar>
          <w:left w:w="62" w:type="dxa"/>
          <w:right w:w="62" w:type="dxa"/>
        </w:tblCellMar>
        <w:tblLook w:val="0000"/>
      </w:tblPr>
      <w:tblGrid>
        <w:gridCol w:w="9497"/>
      </w:tblGrid>
      <w:tr w:rsidTr="00C323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23D5" w:rsidP="00C323D5">
            <w:pPr>
              <w:pStyle w:val="BodyText"/>
            </w:pPr>
            <w:r w:rsidRPr="00C323D5">
              <w:t>Release 1. This is the first release of this unit of competency in the UET Transmission, Distribution and Rail Sector Training Package Release 4.0.</w:t>
            </w:r>
          </w:p>
        </w:tc>
      </w:tr>
    </w:tbl>
    <w:p w:rsidR="00000000" w:rsidRPr="00C323D5" w:rsidP="00C323D5">
      <w:pPr>
        <w:pStyle w:val="NoPaddingFontSize1"/>
      </w:pPr>
    </w:p>
    <w:p w:rsidR="00000000" w:rsidRPr="00C323D5" w:rsidP="00C323D5">
      <w:pPr>
        <w:pStyle w:val="AllowPageBreak"/>
      </w:pPr>
    </w:p>
    <w:p w:rsidR="00000000" w:rsidRPr="00C323D5" w:rsidP="00C323D5">
      <w:pPr>
        <w:pStyle w:val="Heading1"/>
      </w:pPr>
      <w:bookmarkStart w:id="2" w:name="O_1236566"/>
      <w:bookmarkEnd w:id="2"/>
      <w:r w:rsidRPr="00C323D5">
        <w:t>Application</w:t>
      </w:r>
    </w:p>
    <w:tbl>
      <w:tblPr>
        <w:tblW w:w="9497" w:type="dxa"/>
        <w:tblLayout w:type="fixed"/>
        <w:tblCellMar>
          <w:left w:w="62" w:type="dxa"/>
          <w:right w:w="62" w:type="dxa"/>
        </w:tblCellMar>
        <w:tblLook w:val="0000"/>
      </w:tblPr>
      <w:tblGrid>
        <w:gridCol w:w="9497"/>
      </w:tblGrid>
      <w:tr w:rsidTr="00C323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23D5" w:rsidP="00C323D5">
            <w:pPr>
              <w:pStyle w:val="BodyText"/>
            </w:pPr>
            <w:r w:rsidRPr="00C323D5">
              <w:t xml:space="preserve">This unit includes the skills and knowledge required to assess distributed </w:t>
            </w:r>
            <w:r w:rsidRPr="00C323D5">
              <w:t>energy resource (DER) connections to a distribution network in the electricity supply industry (ESI).</w:t>
            </w:r>
          </w:p>
          <w:p w:rsidR="00000000" w:rsidRPr="00C323D5" w:rsidP="00C323D5">
            <w:pPr>
              <w:pStyle w:val="BodyText"/>
            </w:pPr>
            <w:r w:rsidRPr="00C323D5">
              <w:t xml:space="preserve">It includes knowledge of grid connected distributed energy resources including types, sustainability and potential impacts on existing networks. </w:t>
            </w:r>
          </w:p>
          <w:p w:rsidR="00000000" w:rsidRPr="00C323D5" w:rsidP="00C323D5">
            <w:pPr>
              <w:pStyle w:val="BodyText"/>
            </w:pPr>
            <w:r w:rsidRPr="00C323D5">
              <w:t xml:space="preserve">It also </w:t>
            </w:r>
            <w:r w:rsidRPr="00C323D5">
              <w:t>includes procedures for validating DER connections, and documenting and reporting recommended solutions for identified generation, supply and load issues.</w:t>
            </w:r>
          </w:p>
          <w:p w:rsidR="00000000" w:rsidRPr="00C323D5" w:rsidP="00C323D5">
            <w:pPr>
              <w:pStyle w:val="BodyText"/>
            </w:pPr>
            <w:r w:rsidRPr="00C323D5">
              <w:t>The application of the skills and knowledge described in this unit may require a licence/registration</w:t>
            </w:r>
            <w:r w:rsidRPr="00C323D5">
              <w:t xml:space="preserve"> to practice in the workplace.</w:t>
            </w:r>
          </w:p>
          <w:p w:rsidR="00000000" w:rsidRPr="00C323D5" w:rsidP="00C323D5">
            <w:pPr>
              <w:pStyle w:val="BodyText"/>
            </w:pPr>
            <w:r w:rsidRPr="00C323D5">
              <w:t>Other conditions may also apply under state and territory legislative and regulatory licensing requirements which must be confirmed prior to commencing this unit.</w:t>
            </w:r>
          </w:p>
        </w:tc>
      </w:tr>
    </w:tbl>
    <w:p w:rsidR="00000000" w:rsidRPr="00C323D5" w:rsidP="00C323D5">
      <w:pPr>
        <w:pStyle w:val="NoPaddingFontSize1"/>
      </w:pPr>
    </w:p>
    <w:p w:rsidR="00000000" w:rsidRPr="00C323D5" w:rsidP="00C323D5">
      <w:pPr>
        <w:pStyle w:val="AllowPageBreak"/>
      </w:pPr>
    </w:p>
    <w:p w:rsidR="00000000" w:rsidRPr="00C323D5" w:rsidP="00C323D5">
      <w:pPr>
        <w:pStyle w:val="Heading1"/>
      </w:pPr>
      <w:bookmarkStart w:id="3" w:name="O_1236567"/>
      <w:bookmarkEnd w:id="3"/>
      <w:r w:rsidRPr="00C323D5">
        <w:t>Pre-requisite Unit</w:t>
      </w:r>
    </w:p>
    <w:tbl>
      <w:tblPr>
        <w:tblW w:w="9497" w:type="dxa"/>
        <w:tblLayout w:type="fixed"/>
        <w:tblCellMar>
          <w:left w:w="62" w:type="dxa"/>
          <w:right w:w="62" w:type="dxa"/>
        </w:tblCellMar>
        <w:tblLook w:val="0000"/>
      </w:tblPr>
      <w:tblGrid>
        <w:gridCol w:w="9497"/>
      </w:tblGrid>
      <w:tr w:rsidTr="00C323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23D5" w:rsidP="00C323D5">
            <w:pPr>
              <w:pStyle w:val="BodyText"/>
            </w:pPr>
            <w:r w:rsidRPr="00C323D5">
              <w:t>UEECD0007 Apply work h</w:t>
            </w:r>
            <w:r w:rsidRPr="00C323D5">
              <w:t>ealth and safety regulations, codes and practices in the workplace</w:t>
            </w:r>
          </w:p>
          <w:p w:rsidR="00000000" w:rsidRPr="00C323D5" w:rsidP="00C323D5">
            <w:pPr>
              <w:pStyle w:val="BodyText"/>
            </w:pPr>
            <w:r w:rsidRPr="00C323D5">
              <w:t>UEECD0044 Solve problems in multiple path circuits</w:t>
            </w:r>
          </w:p>
          <w:p w:rsidR="00000000" w:rsidRPr="00C323D5" w:rsidP="00C323D5">
            <w:pPr>
              <w:pStyle w:val="BodyText"/>
            </w:pPr>
            <w:r w:rsidRPr="00C323D5">
              <w:t>UEECD0046 Solve problems in single path circuits</w:t>
            </w:r>
          </w:p>
          <w:p w:rsidR="00000000" w:rsidRPr="00C323D5" w:rsidP="00C323D5">
            <w:pPr>
              <w:pStyle w:val="BodyText"/>
            </w:pPr>
            <w:r w:rsidRPr="00C323D5">
              <w:t>UEECD0051 Use drawings, diagrams, schedules, standards, codes and specifications</w:t>
            </w:r>
          </w:p>
          <w:p w:rsidR="00000000" w:rsidRPr="00C323D5" w:rsidP="00C323D5">
            <w:pPr>
              <w:pStyle w:val="BodyText"/>
            </w:pPr>
            <w:r w:rsidRPr="00C323D5">
              <w:t>UEEEL002</w:t>
            </w:r>
            <w:r w:rsidRPr="00C323D5">
              <w:t>0 Solve problems in low voltage a.c. circuits</w:t>
            </w:r>
          </w:p>
          <w:p w:rsidR="00000000" w:rsidRPr="00C323D5" w:rsidP="00C323D5">
            <w:pPr>
              <w:pStyle w:val="BodyText"/>
            </w:pPr>
            <w:r w:rsidRPr="00C323D5">
              <w:t>UEEEL0021 Solve problems in magnetic and electromagnetic devices</w:t>
            </w:r>
          </w:p>
          <w:p w:rsidR="00000000" w:rsidRPr="00C323D5" w:rsidP="00C323D5">
            <w:pPr>
              <w:pStyle w:val="BodyText"/>
            </w:pPr>
            <w:r w:rsidRPr="00C323D5">
              <w:t>UETDRDS027 Investigate quality of supply issues</w:t>
            </w:r>
          </w:p>
          <w:p w:rsidR="00000000" w:rsidRPr="00C323D5" w:rsidP="00C323D5">
            <w:pPr>
              <w:pStyle w:val="BodyText"/>
            </w:pPr>
            <w:r w:rsidRPr="00C323D5">
              <w:t>UETDREL005 Work safely in the vicinity of live electrical apparatus</w:t>
            </w:r>
          </w:p>
        </w:tc>
      </w:tr>
    </w:tbl>
    <w:p w:rsidR="00000000" w:rsidRPr="00C323D5" w:rsidP="00C323D5">
      <w:pPr>
        <w:pStyle w:val="NoPaddingFontSize1"/>
      </w:pPr>
    </w:p>
    <w:p w:rsidR="00000000" w:rsidRPr="00C323D5" w:rsidP="00C323D5">
      <w:pPr>
        <w:pStyle w:val="AllowPageBreak"/>
      </w:pPr>
    </w:p>
    <w:p w:rsidR="00000000" w:rsidRPr="00C323D5" w:rsidP="00C323D5">
      <w:pPr>
        <w:pStyle w:val="Heading1"/>
      </w:pPr>
      <w:bookmarkStart w:id="4" w:name="O_1236568"/>
      <w:bookmarkEnd w:id="4"/>
      <w:r w:rsidRPr="00C323D5">
        <w:t>Competency Field</w:t>
      </w:r>
    </w:p>
    <w:tbl>
      <w:tblPr>
        <w:tblW w:w="9497" w:type="dxa"/>
        <w:tblLayout w:type="fixed"/>
        <w:tblCellMar>
          <w:left w:w="62" w:type="dxa"/>
          <w:right w:w="62" w:type="dxa"/>
        </w:tblCellMar>
        <w:tblLook w:val="0000"/>
      </w:tblPr>
      <w:tblGrid>
        <w:gridCol w:w="9497"/>
      </w:tblGrid>
      <w:tr w:rsidTr="00C323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23D5" w:rsidP="00C323D5">
            <w:pPr>
              <w:pStyle w:val="BodyText"/>
            </w:pPr>
            <w:r w:rsidRPr="00C323D5">
              <w:t>Design</w:t>
            </w:r>
          </w:p>
        </w:tc>
      </w:tr>
    </w:tbl>
    <w:p w:rsidR="00000000" w:rsidRPr="00C323D5" w:rsidP="00C323D5">
      <w:pPr>
        <w:pStyle w:val="NoPaddingFontSize1"/>
      </w:pPr>
    </w:p>
    <w:p w:rsidR="00000000" w:rsidRPr="00C323D5" w:rsidP="00C323D5">
      <w:pPr>
        <w:pStyle w:val="AllowPageBreak"/>
      </w:pPr>
    </w:p>
    <w:p w:rsidR="00000000" w:rsidRPr="00C323D5" w:rsidP="00C323D5">
      <w:pPr>
        <w:pStyle w:val="Heading1"/>
      </w:pPr>
      <w:bookmarkStart w:id="5" w:name="O_1236569"/>
      <w:bookmarkEnd w:id="5"/>
      <w:r w:rsidRPr="00C323D5">
        <w:t>Unit Sector</w:t>
      </w:r>
    </w:p>
    <w:tbl>
      <w:tblPr>
        <w:tblW w:w="9497" w:type="dxa"/>
        <w:tblLayout w:type="fixed"/>
        <w:tblCellMar>
          <w:left w:w="62" w:type="dxa"/>
          <w:right w:w="62" w:type="dxa"/>
        </w:tblCellMar>
        <w:tblLook w:val="0000"/>
      </w:tblPr>
      <w:tblGrid>
        <w:gridCol w:w="9497"/>
      </w:tblGrid>
      <w:tr w:rsidTr="00C323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23D5" w:rsidP="00C323D5">
            <w:pPr>
              <w:pStyle w:val="BodyText"/>
            </w:pPr>
            <w:r w:rsidRPr="00C323D5">
              <w:t>Not applicable.</w:t>
            </w:r>
          </w:p>
        </w:tc>
      </w:tr>
    </w:tbl>
    <w:p w:rsidR="00000000" w:rsidRPr="00C323D5" w:rsidP="00C323D5">
      <w:pPr>
        <w:pStyle w:val="NoPaddingFontSize1"/>
      </w:pPr>
    </w:p>
    <w:p w:rsidR="00000000" w:rsidRPr="00C323D5" w:rsidP="00C323D5">
      <w:pPr>
        <w:pStyle w:val="AllowPageBreak"/>
      </w:pPr>
    </w:p>
    <w:p w:rsidR="00000000" w:rsidRPr="00C323D5" w:rsidP="00C323D5">
      <w:pPr>
        <w:pStyle w:val="Heading1"/>
      </w:pPr>
      <w:bookmarkStart w:id="6" w:name="O_1236570"/>
      <w:bookmarkEnd w:id="6"/>
      <w:r w:rsidRPr="00C323D5">
        <w:t>Elements and Performance Criteria</w:t>
      </w:r>
    </w:p>
    <w:tbl>
      <w:tblPr>
        <w:tblW w:w="9497" w:type="dxa"/>
        <w:tblLayout w:type="fixed"/>
        <w:tblCellMar>
          <w:left w:w="62" w:type="dxa"/>
          <w:right w:w="62" w:type="dxa"/>
        </w:tblCellMar>
        <w:tblLook w:val="0000"/>
      </w:tblPr>
      <w:tblGrid>
        <w:gridCol w:w="403"/>
        <w:gridCol w:w="2857"/>
        <w:gridCol w:w="697"/>
        <w:gridCol w:w="5540"/>
      </w:tblGrid>
      <w:tr w:rsidTr="00C323D5">
        <w:tblPrEx>
          <w:tblW w:w="9497" w:type="dxa"/>
          <w:tblLayout w:type="fixed"/>
          <w:tblCellMar>
            <w:left w:w="62" w:type="dxa"/>
            <w:right w:w="62" w:type="dxa"/>
          </w:tblCellMar>
          <w:tblLook w:val="0000"/>
        </w:tblPrEx>
        <w:tc>
          <w:tcPr>
            <w:tcW w:w="3260" w:type="dxa"/>
            <w:gridSpan w:val="2"/>
            <w:tcBorders>
              <w:top w:val="nil"/>
              <w:left w:val="nil"/>
              <w:bottom w:val="nil"/>
              <w:right w:val="nil"/>
            </w:tcBorders>
            <w:tcMar>
              <w:top w:w="0" w:type="dxa"/>
              <w:left w:w="62" w:type="dxa"/>
              <w:bottom w:w="0" w:type="dxa"/>
              <w:right w:w="62" w:type="dxa"/>
            </w:tcMar>
          </w:tcPr>
          <w:p w:rsidR="00000000" w:rsidRPr="00C323D5" w:rsidP="00C323D5">
            <w:pPr>
              <w:pStyle w:val="BodyText"/>
            </w:pPr>
            <w:r w:rsidRPr="00C323D5">
              <w:rPr>
                <w:rStyle w:val="SpecialBold"/>
              </w:rPr>
              <w:t>ELEMENTS</w:t>
            </w:r>
          </w:p>
        </w:tc>
        <w:tc>
          <w:tcPr>
            <w:tcW w:w="6237" w:type="dxa"/>
            <w:gridSpan w:val="2"/>
            <w:tcBorders>
              <w:top w:val="nil"/>
              <w:left w:val="nil"/>
              <w:bottom w:val="nil"/>
              <w:right w:val="nil"/>
            </w:tcBorders>
            <w:tcMar>
              <w:top w:w="0" w:type="dxa"/>
              <w:left w:w="62" w:type="dxa"/>
              <w:bottom w:w="0" w:type="dxa"/>
              <w:right w:w="62" w:type="dxa"/>
            </w:tcMar>
          </w:tcPr>
          <w:p w:rsidR="00000000" w:rsidP="00C323D5">
            <w:pPr>
              <w:pStyle w:val="BodyText"/>
              <w:rPr>
                <w:lang w:val="en-NZ"/>
              </w:rPr>
            </w:pPr>
            <w:r w:rsidRPr="00C323D5">
              <w:rPr>
                <w:rStyle w:val="SpecialBold"/>
              </w:rPr>
              <w:t>PERFORMANCE CRITERIA</w:t>
            </w:r>
          </w:p>
        </w:tc>
      </w:tr>
      <w:tr w:rsidTr="00C323D5">
        <w:tblPrEx>
          <w:tblW w:w="9497" w:type="dxa"/>
          <w:tblLayout w:type="fixed"/>
          <w:tblCellMar>
            <w:left w:w="62" w:type="dxa"/>
            <w:right w:w="62" w:type="dxa"/>
          </w:tblCellMar>
          <w:tblLook w:val="0000"/>
        </w:tblPrEx>
        <w:tc>
          <w:tcPr>
            <w:tcW w:w="3260" w:type="dxa"/>
            <w:gridSpan w:val="2"/>
            <w:tcBorders>
              <w:top w:val="nil"/>
              <w:left w:val="nil"/>
              <w:bottom w:val="nil"/>
              <w:right w:val="nil"/>
            </w:tcBorders>
            <w:tcMar>
              <w:top w:w="0" w:type="dxa"/>
              <w:left w:w="62" w:type="dxa"/>
              <w:bottom w:w="0" w:type="dxa"/>
              <w:right w:w="62" w:type="dxa"/>
            </w:tcMar>
          </w:tcPr>
          <w:p w:rsidR="00000000" w:rsidP="00C323D5">
            <w:pPr>
              <w:pStyle w:val="BodyText"/>
              <w:rPr>
                <w:lang w:val="en-NZ"/>
              </w:rPr>
            </w:pPr>
            <w:r w:rsidRPr="00C323D5">
              <w:t>Elements describe the essential outcomes.</w:t>
            </w:r>
          </w:p>
        </w:tc>
        <w:tc>
          <w:tcPr>
            <w:tcW w:w="6237" w:type="dxa"/>
            <w:gridSpan w:val="2"/>
            <w:tcBorders>
              <w:top w:val="nil"/>
              <w:left w:val="nil"/>
              <w:bottom w:val="nil"/>
              <w:right w:val="nil"/>
            </w:tcBorders>
            <w:tcMar>
              <w:top w:w="0" w:type="dxa"/>
              <w:left w:w="62" w:type="dxa"/>
              <w:bottom w:w="0" w:type="dxa"/>
              <w:right w:w="62" w:type="dxa"/>
            </w:tcMar>
          </w:tcPr>
          <w:p w:rsidR="00000000" w:rsidP="00C323D5">
            <w:pPr>
              <w:pStyle w:val="BodyText"/>
              <w:rPr>
                <w:lang w:val="en-NZ"/>
              </w:rPr>
            </w:pPr>
            <w:r w:rsidRPr="00C323D5">
              <w:t>Performance criteria describe the performance needed to demonstrate achievement of the element.</w:t>
            </w:r>
          </w:p>
        </w:tc>
      </w:tr>
      <w:tr w:rsidTr="00C323D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C323D5" w:rsidP="00C323D5">
            <w:pPr>
              <w:pStyle w:val="BodyText"/>
            </w:pPr>
            <w:r w:rsidRPr="00C323D5">
              <w:rPr>
                <w:rStyle w:val="SpecialBold"/>
              </w:rPr>
              <w:t xml:space="preserve">1 </w:t>
            </w:r>
          </w:p>
        </w:tc>
        <w:tc>
          <w:tcPr>
            <w:tcW w:w="2857" w:type="dxa"/>
            <w:tcBorders>
              <w:top w:val="nil"/>
              <w:left w:val="nil"/>
              <w:bottom w:val="nil"/>
              <w:right w:val="nil"/>
            </w:tcBorders>
            <w:tcMar>
              <w:top w:w="0" w:type="dxa"/>
              <w:left w:w="62" w:type="dxa"/>
              <w:bottom w:w="0" w:type="dxa"/>
              <w:right w:w="62" w:type="dxa"/>
            </w:tcMar>
          </w:tcPr>
          <w:p w:rsidR="00000000" w:rsidRPr="00C323D5" w:rsidP="00C323D5">
            <w:pPr>
              <w:pStyle w:val="BodyText"/>
            </w:pPr>
            <w:r w:rsidRPr="00C323D5">
              <w:rPr>
                <w:rStyle w:val="SpecialBold"/>
              </w:rPr>
              <w:t>Prepare to assess DER connections to a distribution network</w:t>
            </w:r>
          </w:p>
        </w:tc>
        <w:tc>
          <w:tcPr>
            <w:tcW w:w="697" w:type="dxa"/>
            <w:tcBorders>
              <w:top w:val="nil"/>
              <w:left w:val="nil"/>
              <w:bottom w:val="nil"/>
              <w:right w:val="nil"/>
            </w:tcBorders>
            <w:tcMar>
              <w:top w:w="0" w:type="dxa"/>
              <w:left w:w="62" w:type="dxa"/>
              <w:bottom w:w="0" w:type="dxa"/>
              <w:right w:w="62" w:type="dxa"/>
            </w:tcMar>
          </w:tcPr>
          <w:p w:rsidR="00000000" w:rsidP="00C323D5">
            <w:pPr>
              <w:pStyle w:val="BodyText"/>
              <w:rPr>
                <w:lang w:val="en-NZ"/>
              </w:rPr>
            </w:pPr>
            <w:r w:rsidRPr="00C323D5">
              <w:rPr>
                <w:rStyle w:val="SpecialBold"/>
              </w:rPr>
              <w:t>1.1</w:t>
            </w:r>
          </w:p>
        </w:tc>
        <w:tc>
          <w:tcPr>
            <w:tcW w:w="5540" w:type="dxa"/>
            <w:tcBorders>
              <w:top w:val="nil"/>
              <w:left w:val="nil"/>
              <w:bottom w:val="nil"/>
              <w:right w:val="nil"/>
            </w:tcBorders>
            <w:tcMar>
              <w:top w:w="0" w:type="dxa"/>
              <w:left w:w="62" w:type="dxa"/>
              <w:bottom w:w="0" w:type="dxa"/>
              <w:right w:w="62" w:type="dxa"/>
            </w:tcMar>
          </w:tcPr>
          <w:p w:rsidR="00000000" w:rsidP="00C323D5">
            <w:pPr>
              <w:pStyle w:val="BodyText"/>
              <w:rPr>
                <w:lang w:val="en-NZ"/>
              </w:rPr>
            </w:pPr>
            <w:r w:rsidRPr="00C323D5">
              <w:t>Project requirements are determined</w:t>
            </w:r>
          </w:p>
        </w:tc>
      </w:tr>
      <w:tr w:rsidTr="00C323D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C323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323D5">
            <w:pPr>
              <w:pStyle w:val="BodyText"/>
              <w:rPr>
                <w:lang w:val="en-NZ"/>
              </w:rPr>
            </w:pPr>
            <w:r w:rsidRPr="00C323D5">
              <w:rPr>
                <w:rStyle w:val="SpecialBold"/>
              </w:rPr>
              <w:t>1.2</w:t>
            </w:r>
          </w:p>
        </w:tc>
        <w:tc>
          <w:tcPr>
            <w:tcW w:w="5540" w:type="dxa"/>
            <w:tcBorders>
              <w:top w:val="nil"/>
              <w:left w:val="nil"/>
              <w:bottom w:val="nil"/>
              <w:right w:val="nil"/>
            </w:tcBorders>
            <w:tcMar>
              <w:top w:w="0" w:type="dxa"/>
              <w:left w:w="62" w:type="dxa"/>
              <w:bottom w:w="0" w:type="dxa"/>
              <w:right w:w="62" w:type="dxa"/>
            </w:tcMar>
          </w:tcPr>
          <w:p w:rsidR="00000000" w:rsidP="00C323D5">
            <w:pPr>
              <w:pStyle w:val="BodyText"/>
              <w:rPr>
                <w:lang w:val="en-NZ"/>
              </w:rPr>
            </w:pPr>
            <w:r w:rsidRPr="00C323D5">
              <w:t>Assessment specifications are determined in acco</w:t>
            </w:r>
            <w:r w:rsidRPr="00C323D5">
              <w:t xml:space="preserve">rdance with workplace requirements </w:t>
            </w:r>
          </w:p>
        </w:tc>
      </w:tr>
      <w:tr w:rsidTr="00C323D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C323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323D5">
            <w:pPr>
              <w:pStyle w:val="BodyText"/>
              <w:rPr>
                <w:lang w:val="en-NZ"/>
              </w:rPr>
            </w:pPr>
            <w:r w:rsidRPr="00C323D5">
              <w:rPr>
                <w:rStyle w:val="SpecialBold"/>
              </w:rPr>
              <w:t>1.3</w:t>
            </w:r>
          </w:p>
        </w:tc>
        <w:tc>
          <w:tcPr>
            <w:tcW w:w="5540" w:type="dxa"/>
            <w:tcBorders>
              <w:top w:val="nil"/>
              <w:left w:val="nil"/>
              <w:bottom w:val="nil"/>
              <w:right w:val="nil"/>
            </w:tcBorders>
            <w:tcMar>
              <w:top w:w="0" w:type="dxa"/>
              <w:left w:w="62" w:type="dxa"/>
              <w:bottom w:w="0" w:type="dxa"/>
              <w:right w:w="62" w:type="dxa"/>
            </w:tcMar>
          </w:tcPr>
          <w:p w:rsidR="00000000" w:rsidP="00C323D5">
            <w:pPr>
              <w:pStyle w:val="BodyText"/>
              <w:rPr>
                <w:lang w:val="en-NZ"/>
              </w:rPr>
            </w:pPr>
            <w:r w:rsidRPr="00C323D5">
              <w:t>Tools, equipment and personal protective equipment (PPE) required for site inspections are determined, obtained and confirmed in working order</w:t>
            </w:r>
          </w:p>
        </w:tc>
      </w:tr>
      <w:tr w:rsidTr="00C323D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C323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323D5">
            <w:pPr>
              <w:pStyle w:val="BodyText"/>
              <w:rPr>
                <w:lang w:val="en-NZ"/>
              </w:rPr>
            </w:pPr>
            <w:r w:rsidRPr="00C323D5">
              <w:rPr>
                <w:rStyle w:val="SpecialBold"/>
              </w:rPr>
              <w:t>1.4</w:t>
            </w:r>
          </w:p>
        </w:tc>
        <w:tc>
          <w:tcPr>
            <w:tcW w:w="5540" w:type="dxa"/>
            <w:tcBorders>
              <w:top w:val="nil"/>
              <w:left w:val="nil"/>
              <w:bottom w:val="nil"/>
              <w:right w:val="nil"/>
            </w:tcBorders>
            <w:tcMar>
              <w:top w:w="0" w:type="dxa"/>
              <w:left w:w="62" w:type="dxa"/>
              <w:bottom w:w="0" w:type="dxa"/>
              <w:right w:w="62" w:type="dxa"/>
            </w:tcMar>
          </w:tcPr>
          <w:p w:rsidR="00000000" w:rsidP="00C323D5">
            <w:pPr>
              <w:pStyle w:val="BodyText"/>
              <w:rPr>
                <w:lang w:val="en-NZ"/>
              </w:rPr>
            </w:pPr>
            <w:r w:rsidRPr="00C323D5">
              <w:t>Requirements for site inspections are determined in accordance with workplace requirements</w:t>
            </w:r>
          </w:p>
        </w:tc>
      </w:tr>
      <w:tr w:rsidTr="00C323D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C323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323D5">
            <w:pPr>
              <w:pStyle w:val="BodyText"/>
              <w:rPr>
                <w:lang w:val="en-NZ"/>
              </w:rPr>
            </w:pPr>
            <w:r w:rsidRPr="00C323D5">
              <w:rPr>
                <w:rStyle w:val="SpecialBold"/>
              </w:rPr>
              <w:t>1.5</w:t>
            </w:r>
          </w:p>
        </w:tc>
        <w:tc>
          <w:tcPr>
            <w:tcW w:w="5540" w:type="dxa"/>
            <w:tcBorders>
              <w:top w:val="nil"/>
              <w:left w:val="nil"/>
              <w:bottom w:val="nil"/>
              <w:right w:val="nil"/>
            </w:tcBorders>
            <w:tcMar>
              <w:top w:w="0" w:type="dxa"/>
              <w:left w:w="62" w:type="dxa"/>
              <w:bottom w:w="0" w:type="dxa"/>
              <w:right w:w="62" w:type="dxa"/>
            </w:tcMar>
          </w:tcPr>
          <w:p w:rsidR="00000000" w:rsidP="00C323D5">
            <w:pPr>
              <w:pStyle w:val="BodyText"/>
              <w:rPr>
                <w:lang w:val="en-NZ"/>
              </w:rPr>
            </w:pPr>
            <w:r w:rsidRPr="00C323D5">
              <w:t>Work is prioritised and sequenced for completion in accordance with workplace requirements</w:t>
            </w:r>
          </w:p>
        </w:tc>
      </w:tr>
      <w:tr w:rsidTr="00C323D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C323D5" w:rsidP="00C323D5">
            <w:pPr>
              <w:pStyle w:val="BodyText"/>
            </w:pPr>
            <w:r w:rsidRPr="00C323D5">
              <w:rPr>
                <w:rStyle w:val="SpecialBold"/>
              </w:rPr>
              <w:t>2</w:t>
            </w:r>
          </w:p>
        </w:tc>
        <w:tc>
          <w:tcPr>
            <w:tcW w:w="2857" w:type="dxa"/>
            <w:tcBorders>
              <w:top w:val="nil"/>
              <w:left w:val="nil"/>
              <w:bottom w:val="nil"/>
              <w:right w:val="nil"/>
            </w:tcBorders>
            <w:tcMar>
              <w:top w:w="0" w:type="dxa"/>
              <w:left w:w="62" w:type="dxa"/>
              <w:bottom w:w="0" w:type="dxa"/>
              <w:right w:w="62" w:type="dxa"/>
            </w:tcMar>
          </w:tcPr>
          <w:p w:rsidR="00000000" w:rsidRPr="00C323D5" w:rsidP="00C323D5">
            <w:pPr>
              <w:pStyle w:val="BodyText"/>
            </w:pPr>
            <w:r w:rsidRPr="00C323D5">
              <w:rPr>
                <w:rStyle w:val="SpecialBold"/>
              </w:rPr>
              <w:t>Assess DER connections to a distribution network</w:t>
            </w:r>
          </w:p>
          <w:p w:rsidR="00000000" w:rsidRPr="00C323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323D5">
            <w:pPr>
              <w:pStyle w:val="BodyText"/>
              <w:rPr>
                <w:lang w:val="en-NZ"/>
              </w:rPr>
            </w:pPr>
            <w:r w:rsidRPr="00C323D5">
              <w:rPr>
                <w:rStyle w:val="SpecialBold"/>
              </w:rPr>
              <w:t>2.1</w:t>
            </w:r>
          </w:p>
        </w:tc>
        <w:tc>
          <w:tcPr>
            <w:tcW w:w="5540" w:type="dxa"/>
            <w:tcBorders>
              <w:top w:val="nil"/>
              <w:left w:val="nil"/>
              <w:bottom w:val="nil"/>
              <w:right w:val="nil"/>
            </w:tcBorders>
            <w:tcMar>
              <w:top w:w="0" w:type="dxa"/>
              <w:left w:w="62" w:type="dxa"/>
              <w:bottom w:w="0" w:type="dxa"/>
              <w:right w:w="62" w:type="dxa"/>
            </w:tcMar>
          </w:tcPr>
          <w:p w:rsidR="00000000" w:rsidP="00C323D5">
            <w:pPr>
              <w:pStyle w:val="BodyText"/>
              <w:rPr>
                <w:lang w:val="en-NZ"/>
              </w:rPr>
            </w:pPr>
            <w:r w:rsidRPr="00C323D5">
              <w:t>Site inspe</w:t>
            </w:r>
            <w:r w:rsidRPr="00C323D5">
              <w:t>ction is performed</w:t>
            </w:r>
          </w:p>
        </w:tc>
      </w:tr>
      <w:tr w:rsidTr="00C323D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C323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323D5">
            <w:pPr>
              <w:pStyle w:val="BodyText"/>
              <w:rPr>
                <w:lang w:val="en-NZ"/>
              </w:rPr>
            </w:pPr>
            <w:r w:rsidRPr="00C323D5">
              <w:rPr>
                <w:rStyle w:val="SpecialBold"/>
              </w:rPr>
              <w:t>2.2</w:t>
            </w:r>
          </w:p>
        </w:tc>
        <w:tc>
          <w:tcPr>
            <w:tcW w:w="5540" w:type="dxa"/>
            <w:tcBorders>
              <w:top w:val="nil"/>
              <w:left w:val="nil"/>
              <w:bottom w:val="nil"/>
              <w:right w:val="nil"/>
            </w:tcBorders>
            <w:tcMar>
              <w:top w:w="0" w:type="dxa"/>
              <w:left w:w="62" w:type="dxa"/>
              <w:bottom w:w="0" w:type="dxa"/>
              <w:right w:w="62" w:type="dxa"/>
            </w:tcMar>
          </w:tcPr>
          <w:p w:rsidR="00000000" w:rsidP="00C323D5">
            <w:pPr>
              <w:pStyle w:val="BodyText"/>
              <w:rPr>
                <w:lang w:val="en-NZ"/>
              </w:rPr>
            </w:pPr>
            <w:r w:rsidRPr="00C323D5">
              <w:t>DER connection is assessed in accordance with workplace requirements</w:t>
            </w:r>
          </w:p>
        </w:tc>
      </w:tr>
      <w:tr w:rsidTr="00C323D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C323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323D5">
            <w:pPr>
              <w:pStyle w:val="BodyText"/>
              <w:rPr>
                <w:lang w:val="en-NZ"/>
              </w:rPr>
            </w:pPr>
            <w:r w:rsidRPr="00C323D5">
              <w:rPr>
                <w:rStyle w:val="SpecialBold"/>
              </w:rPr>
              <w:t>2.3</w:t>
            </w:r>
          </w:p>
        </w:tc>
        <w:tc>
          <w:tcPr>
            <w:tcW w:w="5540" w:type="dxa"/>
            <w:tcBorders>
              <w:top w:val="nil"/>
              <w:left w:val="nil"/>
              <w:bottom w:val="nil"/>
              <w:right w:val="nil"/>
            </w:tcBorders>
            <w:tcMar>
              <w:top w:w="0" w:type="dxa"/>
              <w:left w:w="62" w:type="dxa"/>
              <w:bottom w:w="0" w:type="dxa"/>
              <w:right w:w="62" w:type="dxa"/>
            </w:tcMar>
          </w:tcPr>
          <w:p w:rsidR="00000000" w:rsidP="00C323D5">
            <w:pPr>
              <w:pStyle w:val="BodyText"/>
              <w:rPr>
                <w:lang w:val="en-NZ"/>
              </w:rPr>
            </w:pPr>
            <w:r w:rsidRPr="00C323D5">
              <w:t>Sustainable energy principles are used to evaluate and determine best outcomes in accordance with workplace requirements</w:t>
            </w:r>
          </w:p>
        </w:tc>
      </w:tr>
      <w:tr w:rsidTr="00C323D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C323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323D5">
            <w:pPr>
              <w:pStyle w:val="BodyText"/>
              <w:rPr>
                <w:lang w:val="en-NZ"/>
              </w:rPr>
            </w:pPr>
            <w:r w:rsidRPr="00C323D5">
              <w:rPr>
                <w:rStyle w:val="SpecialBold"/>
              </w:rPr>
              <w:t>2.4</w:t>
            </w:r>
          </w:p>
        </w:tc>
        <w:tc>
          <w:tcPr>
            <w:tcW w:w="5540" w:type="dxa"/>
            <w:tcBorders>
              <w:top w:val="nil"/>
              <w:left w:val="nil"/>
              <w:bottom w:val="nil"/>
              <w:right w:val="nil"/>
            </w:tcBorders>
            <w:tcMar>
              <w:top w:w="0" w:type="dxa"/>
              <w:left w:w="62" w:type="dxa"/>
              <w:bottom w:w="0" w:type="dxa"/>
              <w:right w:w="62" w:type="dxa"/>
            </w:tcMar>
          </w:tcPr>
          <w:p w:rsidR="00000000" w:rsidP="00C323D5">
            <w:pPr>
              <w:pStyle w:val="BodyText"/>
              <w:rPr>
                <w:lang w:val="en-NZ"/>
              </w:rPr>
            </w:pPr>
            <w:r w:rsidRPr="00C323D5">
              <w:t>Assessment is checked f</w:t>
            </w:r>
            <w:r w:rsidRPr="00C323D5">
              <w:t xml:space="preserve">or compliance against legislation, regulations, standards and codes of practice </w:t>
            </w:r>
          </w:p>
        </w:tc>
      </w:tr>
      <w:tr w:rsidTr="00C323D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C323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323D5">
            <w:pPr>
              <w:pStyle w:val="BodyText"/>
              <w:rPr>
                <w:lang w:val="en-NZ"/>
              </w:rPr>
            </w:pPr>
            <w:r w:rsidRPr="00C323D5">
              <w:rPr>
                <w:rStyle w:val="SpecialBold"/>
              </w:rPr>
              <w:t>2.5</w:t>
            </w:r>
          </w:p>
        </w:tc>
        <w:tc>
          <w:tcPr>
            <w:tcW w:w="5540" w:type="dxa"/>
            <w:tcBorders>
              <w:top w:val="nil"/>
              <w:left w:val="nil"/>
              <w:bottom w:val="nil"/>
              <w:right w:val="nil"/>
            </w:tcBorders>
            <w:tcMar>
              <w:top w:w="0" w:type="dxa"/>
              <w:left w:w="62" w:type="dxa"/>
              <w:bottom w:w="0" w:type="dxa"/>
              <w:right w:w="62" w:type="dxa"/>
            </w:tcMar>
          </w:tcPr>
          <w:p w:rsidR="00000000" w:rsidP="00C323D5">
            <w:pPr>
              <w:pStyle w:val="BodyText"/>
              <w:rPr>
                <w:lang w:val="en-NZ"/>
              </w:rPr>
            </w:pPr>
            <w:r w:rsidRPr="00C323D5">
              <w:t>Health and safety risks are identified and minimised or eliminated by using safety and control measures in the design process</w:t>
            </w:r>
          </w:p>
        </w:tc>
      </w:tr>
      <w:tr w:rsidTr="00C323D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C323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323D5">
            <w:pPr>
              <w:pStyle w:val="BodyText"/>
              <w:rPr>
                <w:lang w:val="en-NZ"/>
              </w:rPr>
            </w:pPr>
            <w:r w:rsidRPr="00C323D5">
              <w:rPr>
                <w:rStyle w:val="SpecialBold"/>
              </w:rPr>
              <w:t>2.6</w:t>
            </w:r>
          </w:p>
        </w:tc>
        <w:tc>
          <w:tcPr>
            <w:tcW w:w="5540" w:type="dxa"/>
            <w:tcBorders>
              <w:top w:val="nil"/>
              <w:left w:val="nil"/>
              <w:bottom w:val="nil"/>
              <w:right w:val="nil"/>
            </w:tcBorders>
            <w:tcMar>
              <w:top w:w="0" w:type="dxa"/>
              <w:left w:w="62" w:type="dxa"/>
              <w:bottom w:w="0" w:type="dxa"/>
              <w:right w:w="62" w:type="dxa"/>
            </w:tcMar>
          </w:tcPr>
          <w:p w:rsidR="00000000" w:rsidP="00C323D5">
            <w:pPr>
              <w:pStyle w:val="BodyText"/>
              <w:rPr>
                <w:lang w:val="en-NZ"/>
              </w:rPr>
            </w:pPr>
            <w:r w:rsidRPr="00C323D5">
              <w:t>Quality checks of work are undertaken in accordance with workplace requirements</w:t>
            </w:r>
          </w:p>
        </w:tc>
      </w:tr>
      <w:tr w:rsidTr="00C323D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C323D5" w:rsidP="00C323D5">
            <w:pPr>
              <w:pStyle w:val="BodyText"/>
            </w:pPr>
            <w:r w:rsidRPr="00C323D5">
              <w:rPr>
                <w:rStyle w:val="SpecialBold"/>
              </w:rPr>
              <w:t>3</w:t>
            </w:r>
          </w:p>
        </w:tc>
        <w:tc>
          <w:tcPr>
            <w:tcW w:w="2857" w:type="dxa"/>
            <w:tcBorders>
              <w:top w:val="nil"/>
              <w:left w:val="nil"/>
              <w:bottom w:val="nil"/>
              <w:right w:val="nil"/>
            </w:tcBorders>
            <w:tcMar>
              <w:top w:w="0" w:type="dxa"/>
              <w:left w:w="62" w:type="dxa"/>
              <w:bottom w:w="0" w:type="dxa"/>
              <w:right w:w="62" w:type="dxa"/>
            </w:tcMar>
          </w:tcPr>
          <w:p w:rsidR="00000000" w:rsidRPr="00C323D5" w:rsidP="00C323D5">
            <w:pPr>
              <w:pStyle w:val="BodyText"/>
            </w:pPr>
            <w:r w:rsidRPr="00C323D5">
              <w:rPr>
                <w:rStyle w:val="SpecialBold"/>
              </w:rPr>
              <w:t>Complete work and documentation</w:t>
            </w:r>
          </w:p>
        </w:tc>
        <w:tc>
          <w:tcPr>
            <w:tcW w:w="697" w:type="dxa"/>
            <w:tcBorders>
              <w:top w:val="nil"/>
              <w:left w:val="nil"/>
              <w:bottom w:val="nil"/>
              <w:right w:val="nil"/>
            </w:tcBorders>
            <w:tcMar>
              <w:top w:w="0" w:type="dxa"/>
              <w:left w:w="62" w:type="dxa"/>
              <w:bottom w:w="0" w:type="dxa"/>
              <w:right w:w="62" w:type="dxa"/>
            </w:tcMar>
          </w:tcPr>
          <w:p w:rsidR="00000000" w:rsidP="00C323D5">
            <w:pPr>
              <w:pStyle w:val="BodyText"/>
              <w:rPr>
                <w:lang w:val="en-NZ"/>
              </w:rPr>
            </w:pPr>
            <w:r w:rsidRPr="00C323D5">
              <w:rPr>
                <w:rStyle w:val="SpecialBold"/>
              </w:rPr>
              <w:t>3.1</w:t>
            </w:r>
          </w:p>
        </w:tc>
        <w:tc>
          <w:tcPr>
            <w:tcW w:w="5540" w:type="dxa"/>
            <w:tcBorders>
              <w:top w:val="nil"/>
              <w:left w:val="nil"/>
              <w:bottom w:val="nil"/>
              <w:right w:val="nil"/>
            </w:tcBorders>
            <w:tcMar>
              <w:top w:w="0" w:type="dxa"/>
              <w:left w:w="62" w:type="dxa"/>
              <w:bottom w:w="0" w:type="dxa"/>
              <w:right w:w="62" w:type="dxa"/>
            </w:tcMar>
          </w:tcPr>
          <w:p w:rsidR="00000000" w:rsidP="00C323D5">
            <w:pPr>
              <w:pStyle w:val="BodyText"/>
              <w:rPr>
                <w:lang w:val="en-NZ"/>
              </w:rPr>
            </w:pPr>
            <w:r w:rsidRPr="00C323D5">
              <w:t>Completed work is checked against project and workplace requirements</w:t>
            </w:r>
          </w:p>
        </w:tc>
      </w:tr>
      <w:tr w:rsidTr="00C323D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C323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323D5">
            <w:pPr>
              <w:pStyle w:val="BodyText"/>
              <w:rPr>
                <w:lang w:val="en-NZ"/>
              </w:rPr>
            </w:pPr>
            <w:r w:rsidRPr="00C323D5">
              <w:rPr>
                <w:rStyle w:val="SpecialBold"/>
              </w:rPr>
              <w:t>3.2</w:t>
            </w:r>
          </w:p>
        </w:tc>
        <w:tc>
          <w:tcPr>
            <w:tcW w:w="5540" w:type="dxa"/>
            <w:tcBorders>
              <w:top w:val="nil"/>
              <w:left w:val="nil"/>
              <w:bottom w:val="nil"/>
              <w:right w:val="nil"/>
            </w:tcBorders>
            <w:tcMar>
              <w:top w:w="0" w:type="dxa"/>
              <w:left w:w="62" w:type="dxa"/>
              <w:bottom w:w="0" w:type="dxa"/>
              <w:right w:w="62" w:type="dxa"/>
            </w:tcMar>
          </w:tcPr>
          <w:p w:rsidR="00000000" w:rsidRPr="00C323D5" w:rsidP="00C323D5">
            <w:pPr>
              <w:pStyle w:val="BodyText"/>
            </w:pPr>
            <w:r w:rsidRPr="00C323D5">
              <w:t>Work records, reports and documentation are completed, approved and appropriate personnel notified in accordance with workplace requirements</w:t>
            </w:r>
          </w:p>
        </w:tc>
      </w:tr>
    </w:tbl>
    <w:p w:rsidR="00000000" w:rsidRPr="00C323D5" w:rsidP="00C323D5">
      <w:pPr>
        <w:pStyle w:val="NoPaddingFontSize1"/>
      </w:pPr>
    </w:p>
    <w:p w:rsidR="00000000" w:rsidRPr="00C323D5" w:rsidP="00C323D5">
      <w:pPr>
        <w:pStyle w:val="AllowPageBreak"/>
      </w:pPr>
    </w:p>
    <w:p w:rsidR="00000000" w:rsidRPr="00C323D5" w:rsidP="00C323D5">
      <w:pPr>
        <w:pStyle w:val="Heading1"/>
      </w:pPr>
      <w:bookmarkStart w:id="7" w:name="O_1236571"/>
      <w:bookmarkEnd w:id="7"/>
      <w:r w:rsidRPr="00C323D5">
        <w:t>Foundation Skills</w:t>
      </w:r>
    </w:p>
    <w:tbl>
      <w:tblPr>
        <w:tblW w:w="9497" w:type="dxa"/>
        <w:tblLayout w:type="fixed"/>
        <w:tblCellMar>
          <w:left w:w="62" w:type="dxa"/>
          <w:right w:w="62" w:type="dxa"/>
        </w:tblCellMar>
        <w:tblLook w:val="0000"/>
      </w:tblPr>
      <w:tblGrid>
        <w:gridCol w:w="9497"/>
      </w:tblGrid>
      <w:tr w:rsidTr="00C323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23D5" w:rsidP="00C323D5">
            <w:pPr>
              <w:pStyle w:val="BodyText"/>
            </w:pPr>
            <w:r w:rsidRPr="00C323D5">
              <w:t>Foundation skills essential to performance are explicit in the performance c</w:t>
            </w:r>
            <w:r w:rsidRPr="00C323D5">
              <w:t>riteria of this unit of competency.</w:t>
            </w:r>
          </w:p>
        </w:tc>
      </w:tr>
    </w:tbl>
    <w:p w:rsidR="00000000" w:rsidRPr="00C323D5" w:rsidP="00C323D5">
      <w:pPr>
        <w:pStyle w:val="NoPaddingFontSize1"/>
      </w:pPr>
    </w:p>
    <w:p w:rsidR="00000000" w:rsidRPr="00C323D5" w:rsidP="00C323D5">
      <w:pPr>
        <w:pStyle w:val="AllowPageBreak"/>
      </w:pPr>
    </w:p>
    <w:p w:rsidR="00000000" w:rsidRPr="00C323D5" w:rsidP="00C323D5">
      <w:pPr>
        <w:pStyle w:val="Heading1"/>
      </w:pPr>
      <w:bookmarkStart w:id="8" w:name="O_1236572"/>
      <w:bookmarkEnd w:id="8"/>
      <w:r w:rsidRPr="00C323D5">
        <w:t>Range of Conditions</w:t>
      </w:r>
    </w:p>
    <w:tbl>
      <w:tblPr>
        <w:tblW w:w="9497" w:type="dxa"/>
        <w:tblLayout w:type="fixed"/>
        <w:tblCellMar>
          <w:left w:w="62" w:type="dxa"/>
          <w:right w:w="62" w:type="dxa"/>
        </w:tblCellMar>
        <w:tblLook w:val="0000"/>
      </w:tblPr>
      <w:tblGrid>
        <w:gridCol w:w="9497"/>
      </w:tblGrid>
      <w:tr w:rsidTr="00C323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23D5" w:rsidP="00C323D5">
            <w:pPr>
              <w:pStyle w:val="BodyText"/>
            </w:pPr>
            <w:r w:rsidRPr="00C323D5">
              <w:t>Range is restricted to essential operating conditions and any other variables essential to the work environment.</w:t>
            </w:r>
          </w:p>
          <w:p w:rsidR="00000000" w:rsidRPr="00C323D5" w:rsidP="00C323D5">
            <w:pPr>
              <w:pStyle w:val="BodyText"/>
            </w:pPr>
            <w:r w:rsidRPr="00C323D5">
              <w:t>Non-essential conditions may be found in the UET Transmission, Distribution and Rail Sector Training Package Companion Volume Implementation Guide.</w:t>
            </w:r>
          </w:p>
        </w:tc>
      </w:tr>
    </w:tbl>
    <w:p w:rsidR="00000000" w:rsidRPr="00C323D5" w:rsidP="00C323D5">
      <w:pPr>
        <w:pStyle w:val="NoPaddingFontSize1"/>
      </w:pPr>
    </w:p>
    <w:p w:rsidR="00000000" w:rsidRPr="00C323D5" w:rsidP="00C323D5">
      <w:pPr>
        <w:pStyle w:val="AllowPageBreak"/>
      </w:pPr>
    </w:p>
    <w:p w:rsidR="00000000" w:rsidRPr="00C323D5" w:rsidP="00C323D5">
      <w:pPr>
        <w:pStyle w:val="Heading1"/>
      </w:pPr>
      <w:bookmarkStart w:id="9" w:name="O_1236573"/>
      <w:bookmarkEnd w:id="9"/>
      <w:r w:rsidRPr="00C323D5">
        <w:t>Unit Mapping Information</w:t>
      </w:r>
    </w:p>
    <w:tbl>
      <w:tblPr>
        <w:tblW w:w="9497" w:type="dxa"/>
        <w:tblLayout w:type="fixed"/>
        <w:tblCellMar>
          <w:left w:w="62" w:type="dxa"/>
          <w:right w:w="62" w:type="dxa"/>
        </w:tblCellMar>
        <w:tblLook w:val="0000"/>
      </w:tblPr>
      <w:tblGrid>
        <w:gridCol w:w="9497"/>
      </w:tblGrid>
      <w:tr w:rsidTr="00C323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23D5" w:rsidP="00C323D5">
            <w:pPr>
              <w:pStyle w:val="BodyText"/>
            </w:pPr>
            <w:r w:rsidRPr="00C323D5">
              <w:t>This is a newly created unit.</w:t>
            </w:r>
          </w:p>
        </w:tc>
      </w:tr>
    </w:tbl>
    <w:p w:rsidR="00000000" w:rsidRPr="00C323D5" w:rsidP="00C323D5">
      <w:pPr>
        <w:pStyle w:val="NoPaddingFontSize1"/>
      </w:pPr>
    </w:p>
    <w:p w:rsidR="00000000" w:rsidRPr="00C323D5" w:rsidP="00C323D5">
      <w:pPr>
        <w:pStyle w:val="AllowPageBreak"/>
      </w:pPr>
    </w:p>
    <w:p w:rsidR="00000000" w:rsidRPr="00C323D5" w:rsidP="00C323D5">
      <w:pPr>
        <w:pStyle w:val="Heading1"/>
      </w:pPr>
      <w:bookmarkStart w:id="10" w:name="O_1236580"/>
      <w:bookmarkEnd w:id="10"/>
      <w:r w:rsidRPr="00C323D5">
        <w:t>Links</w:t>
      </w:r>
    </w:p>
    <w:p w:rsidR="00000000" w:rsidRPr="00C323D5" w:rsidP="00ED4212">
      <w:pPr>
        <w:pStyle w:val="BodyText"/>
      </w:pPr>
      <w:r w:rsidRPr="00C323D5">
        <w:t>Compa</w:t>
      </w:r>
      <w:r w:rsidRPr="00C323D5">
        <w:t xml:space="preserve">nion Volume Implementation Guides are found in VETNet - </w:t>
      </w:r>
      <w:r>
        <w:fldChar w:fldCharType="begin"/>
      </w:r>
      <w:r>
        <w:instrText xml:space="preserve"> HYPERLINK "https://vetnet.gov.au/Pages/TrainingDocs.aspx?q=229bace1-b7bc-4653-9300-dffb13ecfad7" </w:instrText>
      </w:r>
      <w:r>
        <w:fldChar w:fldCharType="separate"/>
      </w:r>
      <w:r w:rsidRPr="002C14A3">
        <w:rPr>
          <w:rStyle w:val="Hyperlink"/>
        </w:rPr>
        <w:t>https://vetnet.gov.au/Pages/TrainingDocs.aspx?q=229bace1-b7bc-4653-9300-dffb13ecfad7</w:t>
      </w:r>
      <w:r>
        <w:fldChar w:fldCharType="end"/>
      </w:r>
    </w:p>
    <w:p w:rsidR="00000000" w:rsidRPr="00C323D5" w:rsidP="00ED4212">
      <w:pPr>
        <w:pStyle w:val="BodyText"/>
        <w:sectPr w:rsidSect="00C323D5">
          <w:headerReference w:type="default" r:id="rId10"/>
          <w:footerReference w:type="default" r:id="rId11"/>
          <w:pgSz w:w="11908" w:h="16833"/>
          <w:pgMar w:top="1702" w:right="1418" w:bottom="1702" w:left="1418" w:header="992" w:footer="992" w:gutter="0"/>
          <w:cols w:space="720"/>
          <w:noEndnote/>
          <w:docGrid w:linePitch="299"/>
        </w:sectPr>
      </w:pPr>
    </w:p>
    <w:p w:rsidR="00000000" w:rsidRPr="00C323D5" w:rsidP="00C323D5">
      <w:pPr>
        <w:pStyle w:val="SuperHeading"/>
      </w:pPr>
      <w:r w:rsidRPr="00C323D5">
        <w:t>Assessment Requirements for UETDRDS015 Assess distributed energy res</w:t>
      </w:r>
      <w:r w:rsidRPr="00C323D5">
        <w:t>ource connections to a distribution network</w:t>
      </w:r>
    </w:p>
    <w:p w:rsidR="00000000" w:rsidRPr="00C323D5" w:rsidP="00C323D5">
      <w:pPr>
        <w:pStyle w:val="Heading1"/>
      </w:pPr>
      <w:bookmarkStart w:id="11" w:name="O_1236575"/>
      <w:bookmarkEnd w:id="11"/>
      <w:r w:rsidRPr="00C323D5">
        <w:t>Modification History</w:t>
      </w:r>
    </w:p>
    <w:tbl>
      <w:tblPr>
        <w:tblW w:w="9497" w:type="dxa"/>
        <w:tblLayout w:type="fixed"/>
        <w:tblCellMar>
          <w:left w:w="62" w:type="dxa"/>
          <w:right w:w="62" w:type="dxa"/>
        </w:tblCellMar>
        <w:tblLook w:val="0000"/>
      </w:tblPr>
      <w:tblGrid>
        <w:gridCol w:w="9497"/>
      </w:tblGrid>
      <w:tr w:rsidTr="00C323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23D5" w:rsidP="00C323D5">
            <w:pPr>
              <w:pStyle w:val="BodyText"/>
            </w:pPr>
            <w:r w:rsidRPr="00C323D5">
              <w:t>Release 1. This is the first release of this unit of competency in the UET Transmission, Distribution and Rail Sector Training Package Release 4.0.</w:t>
            </w:r>
          </w:p>
        </w:tc>
      </w:tr>
    </w:tbl>
    <w:p w:rsidR="00000000" w:rsidRPr="00C323D5" w:rsidP="00C323D5">
      <w:pPr>
        <w:pStyle w:val="NoPaddingFontSize1"/>
      </w:pPr>
    </w:p>
    <w:p w:rsidR="00000000" w:rsidRPr="00C323D5" w:rsidP="00C323D5">
      <w:pPr>
        <w:pStyle w:val="AllowPageBreak"/>
      </w:pPr>
    </w:p>
    <w:p w:rsidR="00000000" w:rsidRPr="00C323D5" w:rsidP="00C323D5">
      <w:pPr>
        <w:pStyle w:val="Heading1"/>
      </w:pPr>
      <w:bookmarkStart w:id="12" w:name="O_1236576"/>
      <w:bookmarkEnd w:id="12"/>
      <w:r w:rsidRPr="00C323D5">
        <w:t>Performance Evidence</w:t>
      </w:r>
    </w:p>
    <w:tbl>
      <w:tblPr>
        <w:tblW w:w="9497" w:type="dxa"/>
        <w:tblLayout w:type="fixed"/>
        <w:tblCellMar>
          <w:left w:w="62" w:type="dxa"/>
          <w:right w:w="62" w:type="dxa"/>
        </w:tblCellMar>
        <w:tblLook w:val="0000"/>
      </w:tblPr>
      <w:tblGrid>
        <w:gridCol w:w="9497"/>
      </w:tblGrid>
      <w:tr w:rsidTr="00C323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323D5">
            <w:pPr>
              <w:pStyle w:val="BodyText"/>
              <w:rPr>
                <w:lang w:val="en-NZ"/>
              </w:rPr>
            </w:pPr>
            <w:r w:rsidRPr="00C323D5">
              <w:t>Evidence required to demonstrate competence in this unit must be relevant to and satisfy all of the requirements of the elements and performance criteria on at least two (2) separate occasions and include:</w:t>
            </w:r>
          </w:p>
        </w:tc>
      </w:tr>
      <w:tr w:rsidTr="00C323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23D5" w:rsidP="00C323D5">
            <w:pPr>
              <w:pStyle w:val="ListBullet"/>
            </w:pPr>
            <w:r w:rsidRPr="00C323D5">
              <w:t>determining project require</w:t>
            </w:r>
            <w:r w:rsidRPr="00C323D5">
              <w:t>ments</w:t>
            </w:r>
          </w:p>
          <w:p w:rsidR="00000000" w:rsidRPr="00C323D5" w:rsidP="00C323D5">
            <w:pPr>
              <w:pStyle w:val="ListBullet"/>
            </w:pPr>
            <w:r w:rsidRPr="00C323D5">
              <w:t>determining design specifications</w:t>
            </w:r>
          </w:p>
          <w:p w:rsidR="00000000" w:rsidRPr="00C323D5" w:rsidP="00C323D5">
            <w:pPr>
              <w:pStyle w:val="ListBullet"/>
            </w:pPr>
            <w:r w:rsidRPr="00C323D5">
              <w:t>obtaining, inspecting and using relevant personal protective equipment (PPE) for site inspection</w:t>
            </w:r>
          </w:p>
          <w:p w:rsidR="00000000" w:rsidRPr="00C323D5" w:rsidP="00C323D5">
            <w:pPr>
              <w:pStyle w:val="ListBullet"/>
            </w:pPr>
            <w:r w:rsidRPr="00C323D5">
              <w:t>determining requirements for site inspections in accordance with workplace requirements</w:t>
            </w:r>
          </w:p>
          <w:p w:rsidR="00000000" w:rsidRPr="00C323D5" w:rsidP="00C323D5">
            <w:pPr>
              <w:pStyle w:val="ListBullet"/>
            </w:pPr>
            <w:r w:rsidRPr="00C323D5">
              <w:t>prioritising and sequencing wor</w:t>
            </w:r>
            <w:r w:rsidRPr="00C323D5">
              <w:t>k for completion in accordance with workplace requirements</w:t>
            </w:r>
          </w:p>
          <w:p w:rsidR="00000000" w:rsidRPr="00C323D5" w:rsidP="00C323D5">
            <w:pPr>
              <w:pStyle w:val="ListBullet"/>
            </w:pPr>
            <w:r w:rsidRPr="00C323D5">
              <w:t>performing at least one site inspection</w:t>
            </w:r>
          </w:p>
          <w:p w:rsidR="00000000" w:rsidRPr="00C323D5" w:rsidP="00C323D5">
            <w:pPr>
              <w:pStyle w:val="ListBullet"/>
            </w:pPr>
            <w:r w:rsidRPr="00C323D5">
              <w:t>applying sustainable energy principles and practices</w:t>
            </w:r>
          </w:p>
          <w:p w:rsidR="00000000" w:rsidRPr="00C323D5" w:rsidP="00C323D5">
            <w:pPr>
              <w:pStyle w:val="ListBullet"/>
            </w:pPr>
            <w:r w:rsidRPr="00C323D5">
              <w:t xml:space="preserve">checking connection assessment for compliance against legislation, regulations, standards and codes of practice </w:t>
            </w:r>
          </w:p>
          <w:p w:rsidR="00000000" w:rsidRPr="00C323D5" w:rsidP="00C323D5">
            <w:pPr>
              <w:pStyle w:val="ListBullet"/>
            </w:pPr>
            <w:r w:rsidRPr="00C323D5">
              <w:t>identifying, and minimising or eliminating health and safety risks by using safety and control measures</w:t>
            </w:r>
          </w:p>
          <w:p w:rsidR="00000000" w:rsidRPr="00C323D5" w:rsidP="00C323D5">
            <w:pPr>
              <w:pStyle w:val="ListBullet"/>
            </w:pPr>
            <w:r w:rsidRPr="00C323D5">
              <w:t>performing ongoing quality checks of wo</w:t>
            </w:r>
            <w:r w:rsidRPr="00C323D5">
              <w:t>rk in accordance with workplace requirements</w:t>
            </w:r>
          </w:p>
          <w:p w:rsidR="00000000" w:rsidRPr="00C323D5" w:rsidP="00C323D5">
            <w:pPr>
              <w:pStyle w:val="ListBullet"/>
            </w:pPr>
            <w:r w:rsidRPr="00C323D5">
              <w:t>checking final design against project and workplace requirements</w:t>
            </w:r>
          </w:p>
          <w:p w:rsidR="00000000" w:rsidRPr="00C323D5" w:rsidP="00C323D5">
            <w:pPr>
              <w:pStyle w:val="ListBullet"/>
            </w:pPr>
            <w:r w:rsidRPr="00C323D5">
              <w:t>completing relevant work records, reports and documentation</w:t>
            </w:r>
          </w:p>
          <w:p w:rsidR="00000000" w:rsidRPr="00C323D5" w:rsidP="00C323D5">
            <w:pPr>
              <w:pStyle w:val="ListBullet"/>
            </w:pPr>
            <w:r w:rsidRPr="00C323D5">
              <w:t>using engineering applications software to assess impact of distributed energy resourc</w:t>
            </w:r>
            <w:r w:rsidRPr="00C323D5">
              <w:t>e (DER) on the network</w:t>
            </w:r>
          </w:p>
          <w:p w:rsidR="00000000" w:rsidRPr="00C323D5" w:rsidP="00C323D5">
            <w:pPr>
              <w:pStyle w:val="ListBullet"/>
            </w:pPr>
            <w:r w:rsidRPr="00C323D5">
              <w:t xml:space="preserve">completing three (3) assessments of a DER connection using at least two (2) of the following project types: </w:t>
            </w:r>
          </w:p>
          <w:p w:rsidR="00000000" w:rsidRPr="00C323D5" w:rsidP="00C323D5">
            <w:pPr>
              <w:pStyle w:val="ListBullet2"/>
            </w:pPr>
            <w:r w:rsidRPr="00C323D5">
              <w:t>solar</w:t>
            </w:r>
          </w:p>
          <w:p w:rsidR="00000000" w:rsidRPr="00C323D5" w:rsidP="00C323D5">
            <w:pPr>
              <w:pStyle w:val="ListBullet2"/>
            </w:pPr>
            <w:r w:rsidRPr="00C323D5">
              <w:t>wind</w:t>
            </w:r>
          </w:p>
          <w:p w:rsidR="00000000" w:rsidRPr="00C323D5" w:rsidP="00C323D5">
            <w:pPr>
              <w:pStyle w:val="ListBullet2"/>
            </w:pPr>
            <w:r w:rsidRPr="00C323D5">
              <w:t>hydro</w:t>
            </w:r>
          </w:p>
          <w:p w:rsidR="00000000" w:rsidRPr="00C323D5" w:rsidP="00C323D5">
            <w:pPr>
              <w:pStyle w:val="ListBullet2"/>
            </w:pPr>
            <w:r w:rsidRPr="00C323D5">
              <w:t>hydrogen</w:t>
            </w:r>
          </w:p>
          <w:p w:rsidR="00000000" w:rsidRPr="00C323D5" w:rsidP="00C323D5">
            <w:pPr>
              <w:pStyle w:val="ListBullet2"/>
            </w:pPr>
            <w:r w:rsidRPr="00C323D5">
              <w:t>wave</w:t>
            </w:r>
          </w:p>
          <w:p w:rsidR="00000000" w:rsidRPr="00C323D5" w:rsidP="00C323D5">
            <w:pPr>
              <w:pStyle w:val="ListBullet2"/>
            </w:pPr>
            <w:r w:rsidRPr="00C323D5">
              <w:t>battery</w:t>
            </w:r>
          </w:p>
          <w:p w:rsidR="00000000" w:rsidRPr="00C323D5" w:rsidP="00C323D5">
            <w:pPr>
              <w:pStyle w:val="ListBullet"/>
            </w:pPr>
            <w:r w:rsidRPr="00C323D5">
              <w:t>completing the following checks for each of the assessments:</w:t>
            </w:r>
          </w:p>
          <w:p w:rsidR="00000000" w:rsidRPr="00C323D5" w:rsidP="00C323D5">
            <w:pPr>
              <w:pStyle w:val="ListBullet2"/>
            </w:pPr>
            <w:r w:rsidRPr="00C323D5">
              <w:t>voltage rise test</w:t>
            </w:r>
          </w:p>
          <w:p w:rsidR="00000000" w:rsidRPr="00C323D5" w:rsidP="00C323D5">
            <w:pPr>
              <w:pStyle w:val="ListBullet2"/>
            </w:pPr>
            <w:r w:rsidRPr="00C323D5">
              <w:t xml:space="preserve">phase balance test </w:t>
            </w:r>
          </w:p>
          <w:p w:rsidR="00000000" w:rsidRPr="00C323D5" w:rsidP="00C323D5">
            <w:pPr>
              <w:pStyle w:val="ListBullet2"/>
            </w:pPr>
            <w:r w:rsidRPr="00C323D5">
              <w:t xml:space="preserve">accredited DER equipment is used </w:t>
            </w:r>
          </w:p>
          <w:p w:rsidR="00000000" w:rsidRPr="00C323D5" w:rsidP="00C323D5">
            <w:pPr>
              <w:pStyle w:val="ListBullet2"/>
            </w:pPr>
            <w:r w:rsidRPr="00C323D5">
              <w:t>network suitability</w:t>
            </w:r>
          </w:p>
          <w:p w:rsidR="00000000" w:rsidRPr="00C323D5" w:rsidP="00C323D5">
            <w:pPr>
              <w:pStyle w:val="ListBullet2"/>
            </w:pPr>
            <w:r w:rsidRPr="00C323D5">
              <w:t xml:space="preserve">single line diagram </w:t>
            </w:r>
          </w:p>
          <w:p w:rsidR="00000000" w:rsidRPr="00C323D5" w:rsidP="00C323D5">
            <w:pPr>
              <w:pStyle w:val="ListBullet2"/>
            </w:pPr>
            <w:r w:rsidRPr="00C323D5">
              <w:t>reverse power flow</w:t>
            </w:r>
          </w:p>
          <w:p w:rsidR="00000000" w:rsidRPr="00C323D5" w:rsidP="00C323D5">
            <w:pPr>
              <w:pStyle w:val="ListBullet"/>
            </w:pPr>
            <w:r w:rsidRPr="00C323D5">
              <w:t>recommending solutions for each of the assessments on identified generation, supply and load issues.</w:t>
            </w:r>
          </w:p>
        </w:tc>
      </w:tr>
    </w:tbl>
    <w:p w:rsidR="00000000" w:rsidRPr="00C323D5" w:rsidP="00C323D5">
      <w:pPr>
        <w:pStyle w:val="NoPaddingFontSize1"/>
      </w:pPr>
    </w:p>
    <w:p w:rsidR="00000000" w:rsidRPr="00C323D5" w:rsidP="00C323D5">
      <w:pPr>
        <w:pStyle w:val="AllowPageBreak"/>
      </w:pPr>
    </w:p>
    <w:p w:rsidR="00000000" w:rsidRPr="00C323D5" w:rsidP="00C323D5">
      <w:pPr>
        <w:pStyle w:val="Heading1"/>
      </w:pPr>
      <w:bookmarkStart w:id="13" w:name="O_1236577"/>
      <w:bookmarkEnd w:id="13"/>
      <w:r w:rsidRPr="00C323D5">
        <w:t>Knowledge Evidence</w:t>
      </w:r>
    </w:p>
    <w:tbl>
      <w:tblPr>
        <w:tblW w:w="9497" w:type="dxa"/>
        <w:tblLayout w:type="fixed"/>
        <w:tblCellMar>
          <w:left w:w="62" w:type="dxa"/>
          <w:right w:w="62" w:type="dxa"/>
        </w:tblCellMar>
        <w:tblLook w:val="0000"/>
      </w:tblPr>
      <w:tblGrid>
        <w:gridCol w:w="9497"/>
      </w:tblGrid>
      <w:tr w:rsidTr="00C323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323D5">
            <w:pPr>
              <w:pStyle w:val="BodyText"/>
              <w:rPr>
                <w:lang w:val="en-NZ"/>
              </w:rPr>
            </w:pPr>
            <w:r w:rsidRPr="00C323D5">
              <w:t xml:space="preserve">Evidence required to demonstrate competence in this unit must be relevant to and satisfy all of the requirements of the elements and performance criteria and include knowledge of: </w:t>
            </w:r>
          </w:p>
        </w:tc>
      </w:tr>
      <w:tr w:rsidTr="00C323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23D5" w:rsidP="00C323D5">
            <w:pPr>
              <w:pStyle w:val="ListBullet"/>
            </w:pPr>
            <w:r w:rsidRPr="00C323D5">
              <w:t>grid connected distributed energy resources, including:</w:t>
            </w:r>
          </w:p>
          <w:p w:rsidR="00000000" w:rsidRPr="00C323D5" w:rsidP="00C323D5">
            <w:pPr>
              <w:pStyle w:val="ListBullet2"/>
            </w:pPr>
            <w:r w:rsidRPr="00C323D5">
              <w:t>types</w:t>
            </w:r>
          </w:p>
          <w:p w:rsidR="00000000" w:rsidRPr="00C323D5" w:rsidP="00C323D5">
            <w:pPr>
              <w:pStyle w:val="ListBullet2"/>
            </w:pPr>
            <w:r w:rsidRPr="00C323D5">
              <w:t>sustainability</w:t>
            </w:r>
          </w:p>
          <w:p w:rsidR="00000000" w:rsidRPr="00C323D5" w:rsidP="00C323D5">
            <w:pPr>
              <w:pStyle w:val="ListBullet2"/>
            </w:pPr>
            <w:r w:rsidRPr="00C323D5">
              <w:t>impacts on existing network</w:t>
            </w:r>
          </w:p>
          <w:p w:rsidR="00000000" w:rsidRPr="00C323D5" w:rsidP="00C323D5">
            <w:pPr>
              <w:pStyle w:val="ListBullet"/>
            </w:pPr>
            <w:r w:rsidRPr="00C323D5">
              <w:t>procedures for validating DER connections to a distribution network</w:t>
            </w:r>
          </w:p>
          <w:p w:rsidR="00000000" w:rsidRPr="00C323D5" w:rsidP="00C323D5">
            <w:pPr>
              <w:pStyle w:val="ListBullet"/>
            </w:pPr>
            <w:r w:rsidRPr="00C323D5">
              <w:t>procedures for documenting and reporting recommended solutions for identified generation, supply and load issues</w:t>
            </w:r>
          </w:p>
          <w:p w:rsidR="00000000" w:rsidRPr="00C323D5" w:rsidP="00C323D5">
            <w:pPr>
              <w:pStyle w:val="ListBullet"/>
            </w:pPr>
            <w:r w:rsidRPr="00C323D5">
              <w:t>types and application of PPE fo</w:t>
            </w:r>
            <w:r w:rsidRPr="00C323D5">
              <w:t>r site inspection</w:t>
            </w:r>
          </w:p>
          <w:p w:rsidR="00000000" w:rsidRPr="00C323D5" w:rsidP="00C323D5">
            <w:pPr>
              <w:pStyle w:val="ListBullet"/>
            </w:pPr>
            <w:r w:rsidRPr="00C323D5">
              <w:t>manuals, diagrams and drawings.</w:t>
            </w:r>
          </w:p>
        </w:tc>
      </w:tr>
    </w:tbl>
    <w:p w:rsidR="00000000" w:rsidRPr="00C323D5" w:rsidP="00C323D5">
      <w:pPr>
        <w:pStyle w:val="NoPaddingFontSize1"/>
      </w:pPr>
    </w:p>
    <w:p w:rsidR="00000000" w:rsidRPr="00C323D5" w:rsidP="00C323D5">
      <w:pPr>
        <w:pStyle w:val="AllowPageBreak"/>
      </w:pPr>
    </w:p>
    <w:p w:rsidR="00000000" w:rsidRPr="00C323D5" w:rsidP="00C323D5">
      <w:pPr>
        <w:pStyle w:val="Heading1"/>
      </w:pPr>
      <w:bookmarkStart w:id="14" w:name="O_1236578"/>
      <w:bookmarkEnd w:id="14"/>
      <w:r w:rsidRPr="00C323D5">
        <w:t>Assessment Conditions</w:t>
      </w:r>
    </w:p>
    <w:tbl>
      <w:tblPr>
        <w:tblW w:w="9497" w:type="dxa"/>
        <w:tblLayout w:type="fixed"/>
        <w:tblCellMar>
          <w:left w:w="62" w:type="dxa"/>
          <w:right w:w="62" w:type="dxa"/>
        </w:tblCellMar>
        <w:tblLook w:val="0000"/>
      </w:tblPr>
      <w:tblGrid>
        <w:gridCol w:w="9497"/>
      </w:tblGrid>
      <w:tr w:rsidTr="00C323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23D5" w:rsidP="00C323D5">
            <w:pPr>
              <w:pStyle w:val="BodyText"/>
            </w:pPr>
            <w:r w:rsidRPr="00C323D5">
              <w:t>Assessors must hold credentials specified within the Standards for Registered Training Organisations current at the time of assessment.</w:t>
            </w:r>
          </w:p>
          <w:p w:rsidR="00000000" w:rsidRPr="00C323D5" w:rsidP="00C323D5">
            <w:pPr>
              <w:pStyle w:val="BodyText"/>
            </w:pPr>
            <w:r w:rsidRPr="00C323D5">
              <w:t>Assessment must satisfy the Principles of Assessment and Rules of Evidence and all regulatory requirements included within the Standards for Registered Training Organisations current at the time of assessment.</w:t>
            </w:r>
          </w:p>
          <w:p w:rsidR="00000000" w:rsidRPr="00C323D5" w:rsidP="00C323D5">
            <w:pPr>
              <w:pStyle w:val="BodyText"/>
            </w:pPr>
            <w:r w:rsidRPr="00C323D5">
              <w:t>Assessment must occur in workplace operational</w:t>
            </w:r>
            <w:r w:rsidRPr="00C323D5">
              <w:t xml:space="preserve"> situations where it is appropriate to do so.</w:t>
            </w:r>
          </w:p>
          <w:p w:rsidR="00000000" w:rsidRPr="00C323D5" w:rsidP="00C323D5">
            <w:pPr>
              <w:pStyle w:val="BodyText"/>
            </w:pPr>
            <w:r w:rsidRPr="00C323D5">
              <w:t>Where this is not appropriate, assessment must occur in simulated conditions involving realistic and authentic activities that replicate operational workplace conditions.</w:t>
            </w:r>
          </w:p>
          <w:p w:rsidR="00000000" w:rsidRPr="00C323D5" w:rsidP="00C323D5">
            <w:pPr>
              <w:pStyle w:val="BodyText"/>
            </w:pPr>
            <w:r w:rsidRPr="00C323D5">
              <w:t>Assessment processes and techniques mus</w:t>
            </w:r>
            <w:r w:rsidRPr="00C323D5">
              <w:t>t be appropriate to the language, literacy and numeracy requirements of the work being performed and the needs of the candidate.</w:t>
            </w:r>
          </w:p>
          <w:p w:rsidR="00000000" w:rsidRPr="00C323D5" w:rsidP="00C323D5">
            <w:pPr>
              <w:pStyle w:val="BodyText"/>
            </w:pPr>
            <w:r w:rsidRPr="00C323D5">
              <w:t>Resources for assessment must include access to:</w:t>
            </w:r>
          </w:p>
          <w:p w:rsidR="00000000" w:rsidRPr="00C323D5" w:rsidP="00C323D5">
            <w:pPr>
              <w:pStyle w:val="ListBullet2"/>
            </w:pPr>
            <w:r w:rsidRPr="00C323D5">
              <w:t>relevant and appropriate materials, tools, facilities, equipment and PPE curr</w:t>
            </w:r>
            <w:r w:rsidRPr="00C323D5">
              <w:t>ently used in industry</w:t>
            </w:r>
          </w:p>
          <w:p w:rsidR="00000000" w:rsidRPr="00C323D5" w:rsidP="00C323D5">
            <w:pPr>
              <w:pStyle w:val="ListBullet2"/>
            </w:pPr>
            <w:r w:rsidRPr="00C323D5">
              <w:t>applicable documentation, including workplace requirements, relevant industry standards, equipment specifications, regulations, codes of practice and operation manuals.</w:t>
            </w:r>
          </w:p>
        </w:tc>
      </w:tr>
    </w:tbl>
    <w:p w:rsidR="00000000" w:rsidRPr="00C323D5" w:rsidP="00C323D5">
      <w:pPr>
        <w:pStyle w:val="NoPaddingFontSize1"/>
      </w:pPr>
    </w:p>
    <w:p w:rsidR="00000000" w:rsidRPr="00C323D5" w:rsidP="00C323D5">
      <w:pPr>
        <w:pStyle w:val="AllowPageBreak"/>
      </w:pPr>
    </w:p>
    <w:p w:rsidR="00000000" w:rsidRPr="00C323D5" w:rsidP="00C323D5">
      <w:pPr>
        <w:pStyle w:val="Heading1"/>
      </w:pPr>
      <w:bookmarkStart w:id="15" w:name="O_1236581"/>
      <w:bookmarkEnd w:id="15"/>
      <w:r w:rsidRPr="00C323D5">
        <w:t>Links</w:t>
      </w:r>
    </w:p>
    <w:p w:rsidR="00000000" w:rsidRPr="00C323D5" w:rsidP="00ED4212">
      <w:pPr>
        <w:pStyle w:val="BodyText"/>
      </w:pPr>
      <w:r w:rsidRPr="00C323D5">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2C14A3">
        <w:rPr>
          <w:rStyle w:val="Hyperlink"/>
        </w:rPr>
        <w:t>https://vetnet.gov.au/Pages/TrainingDocs.aspx?q=229bace1-b7bc-4653-9300-dffb13ecfad7</w:t>
      </w:r>
      <w:r>
        <w:fldChar w:fldCharType="end"/>
      </w:r>
    </w:p>
    <w:p w:rsidR="00000000" w:rsidRPr="00C323D5" w:rsidP="00C323D5"/>
    <w:sectPr w:rsidSect="00C323D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3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3D5" w:rsidRPr="00ED4212" w:rsidP="00ED42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3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212" w:rsidP="00C323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D4212" w:rsidP="00C323D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ED4212" w:rsidP="00C323D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3D5" w:rsidP="00C323D5">
    <w:pPr>
      <w:pStyle w:val="Footer"/>
      <w:framePr w:wrap="around"/>
    </w:pPr>
    <w:r>
      <w:fldChar w:fldCharType="begin"/>
    </w:r>
    <w:r>
      <w:instrText xml:space="preserve"> DOCPROPERTY  Subject  \* MERGEFORMAT </w:instrText>
    </w:r>
    <w:r>
      <w:fldChar w:fldCharType="separate"/>
    </w:r>
    <w:r w:rsidR="00ED4212">
      <w:t>Approved</w:t>
    </w:r>
    <w:r w:rsidR="00ED4212">
      <w:fldChar w:fldCharType="end"/>
    </w:r>
    <w:r>
      <w:tab/>
      <w:t xml:space="preserve">Page </w:t>
    </w:r>
    <w:r>
      <w:fldChar w:fldCharType="begin"/>
    </w:r>
    <w:r>
      <w:instrText xml:space="preserve"> PAGE  \* Arabic  \* MERGEFORMAT </w:instrText>
    </w:r>
    <w:r>
      <w:fldChar w:fldCharType="separate"/>
    </w:r>
    <w:r w:rsidR="00ED421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D4212">
      <w:rPr>
        <w:noProof/>
      </w:rPr>
      <w:t>4</w:t>
    </w:r>
    <w:r>
      <w:rPr>
        <w:noProof/>
      </w:rPr>
      <w:fldChar w:fldCharType="end"/>
    </w:r>
  </w:p>
  <w:p w:rsidR="00C323D5" w:rsidP="00C323D5">
    <w:pPr>
      <w:pStyle w:val="Footer"/>
      <w:framePr w:wrap="around"/>
    </w:pPr>
    <w:r>
      <w:t xml:space="preserve">© Commonwealth of Australia, </w:t>
    </w:r>
    <w:r>
      <w:fldChar w:fldCharType="begin"/>
    </w:r>
    <w:r>
      <w:instrText xml:space="preserve"> DATE  \@ "yyyy"  \* MERGEFORMAT </w:instrText>
    </w:r>
    <w:r>
      <w:fldChar w:fldCharType="separate"/>
    </w:r>
    <w:r w:rsidR="00ED4212">
      <w:rPr>
        <w:noProof/>
      </w:rPr>
      <w:t>2025</w:t>
    </w:r>
    <w:r>
      <w:fldChar w:fldCharType="end"/>
    </w:r>
    <w:r>
      <w:tab/>
    </w:r>
    <w:r>
      <w:fldChar w:fldCharType="begin"/>
    </w:r>
    <w:r>
      <w:instrText xml:space="preserve"> DOCPROPERTY  Author  \* MERGEFORMAT </w:instrText>
    </w:r>
    <w:r>
      <w:fldChar w:fldCharType="separate"/>
    </w:r>
    <w:r w:rsidR="00ED4212">
      <w:t>Powering Skills Organisation</w:t>
    </w:r>
    <w:r w:rsidR="00ED4212">
      <w:fldChar w:fldCharType="end"/>
    </w:r>
  </w:p>
  <w:p w:rsidR="00C323D5" w:rsidP="00C323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3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2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23D5" w:rsidRPr="00ED4212" w:rsidP="00ED42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3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212" w:rsidRPr="002D2AF8" w:rsidP="00C323D5">
    <w:pPr>
      <w:pStyle w:val="Header"/>
      <w:framePr w:wrap="around"/>
    </w:pPr>
    <w:r>
      <w:fldChar w:fldCharType="begin"/>
    </w:r>
    <w:r>
      <w:instrText xml:space="preserve"> TITLE   \* MERGEFORMAT </w:instrText>
    </w:r>
    <w:r>
      <w:fldChar w:fldCharType="separate"/>
    </w:r>
    <w:r>
      <w:t>UETDRDS015 Assess distributed energy resource connections to a distribution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D4212" w:rsidP="00C323D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3D5" w:rsidRPr="002D2AF8" w:rsidP="00C323D5">
    <w:pPr>
      <w:pStyle w:val="Header"/>
      <w:framePr w:wrap="around"/>
    </w:pPr>
    <w:r>
      <w:fldChar w:fldCharType="begin"/>
    </w:r>
    <w:r>
      <w:instrText xml:space="preserve"> TITLE   \* MERGEFORMAT </w:instrText>
    </w:r>
    <w:r>
      <w:fldChar w:fldCharType="separate"/>
    </w:r>
    <w:r w:rsidR="00ED4212">
      <w:t>UETDRDS015 Assess distributed energy resource connections to a distribution network</w:t>
    </w:r>
    <w:r w:rsidR="00ED4212">
      <w:fldChar w:fldCharType="end"/>
    </w:r>
    <w:r>
      <w:tab/>
      <w:t xml:space="preserve">Date this document was generated: </w:t>
    </w:r>
    <w:r>
      <w:fldChar w:fldCharType="begin"/>
    </w:r>
    <w:r>
      <w:instrText xml:space="preserve"> CREATEDATE  \@ "d MMMM yyyy"  \* MERGEFORMAT </w:instrText>
    </w:r>
    <w:r>
      <w:fldChar w:fldCharType="separate"/>
    </w:r>
    <w:r w:rsidR="00ED4212">
      <w:rPr>
        <w:noProof/>
      </w:rPr>
      <w:t>2 March 2025</w:t>
    </w:r>
    <w:r>
      <w:fldChar w:fldCharType="end"/>
    </w:r>
  </w:p>
  <w:p w:rsidR="00C323D5" w:rsidP="00C323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D8ED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60DF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D2D1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23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23D5"/>
    <w:pPr>
      <w:spacing w:before="360" w:after="60"/>
      <w:outlineLvl w:val="0"/>
    </w:pPr>
    <w:rPr>
      <w:sz w:val="32"/>
    </w:rPr>
  </w:style>
  <w:style w:type="paragraph" w:styleId="Heading2">
    <w:name w:val="heading 2"/>
    <w:basedOn w:val="HeadingBase"/>
    <w:next w:val="BodyText"/>
    <w:link w:val="Heading2Char"/>
    <w:qFormat/>
    <w:rsid w:val="00C323D5"/>
    <w:pPr>
      <w:keepLines/>
      <w:spacing w:before="240" w:after="120"/>
      <w:outlineLvl w:val="1"/>
    </w:pPr>
    <w:rPr>
      <w:sz w:val="28"/>
      <w:szCs w:val="40"/>
    </w:rPr>
  </w:style>
  <w:style w:type="paragraph" w:styleId="Heading3">
    <w:name w:val="heading 3"/>
    <w:basedOn w:val="HeadingBase"/>
    <w:next w:val="BodyText"/>
    <w:link w:val="Heading3Char"/>
    <w:qFormat/>
    <w:rsid w:val="00C323D5"/>
    <w:pPr>
      <w:spacing w:before="180" w:after="120"/>
      <w:outlineLvl w:val="2"/>
    </w:pPr>
    <w:rPr>
      <w:spacing w:val="-10"/>
      <w:kern w:val="32"/>
    </w:rPr>
  </w:style>
  <w:style w:type="paragraph" w:styleId="Heading4">
    <w:name w:val="heading 4"/>
    <w:basedOn w:val="HeadingBase"/>
    <w:next w:val="BodyText"/>
    <w:link w:val="Heading4Char"/>
    <w:qFormat/>
    <w:rsid w:val="00C323D5"/>
    <w:pPr>
      <w:spacing w:before="160" w:after="120"/>
      <w:outlineLvl w:val="3"/>
    </w:pPr>
    <w:rPr>
      <w:sz w:val="22"/>
    </w:rPr>
  </w:style>
  <w:style w:type="paragraph" w:styleId="Heading5">
    <w:name w:val="heading 5"/>
    <w:basedOn w:val="HeadingBase"/>
    <w:next w:val="Normal"/>
    <w:link w:val="Heading5Char"/>
    <w:qFormat/>
    <w:rsid w:val="00C323D5"/>
    <w:pPr>
      <w:spacing w:before="80"/>
      <w:outlineLvl w:val="4"/>
    </w:pPr>
    <w:rPr>
      <w:color w:val="918585"/>
      <w:sz w:val="20"/>
    </w:rPr>
  </w:style>
  <w:style w:type="paragraph" w:styleId="Heading6">
    <w:name w:val="heading 6"/>
    <w:basedOn w:val="HeadingBase"/>
    <w:next w:val="Normal"/>
    <w:link w:val="Heading6Char"/>
    <w:qFormat/>
    <w:rsid w:val="00C323D5"/>
    <w:pPr>
      <w:spacing w:before="60"/>
      <w:outlineLvl w:val="5"/>
    </w:pPr>
    <w:rPr>
      <w:color w:val="918585"/>
      <w:sz w:val="20"/>
    </w:rPr>
  </w:style>
  <w:style w:type="paragraph" w:styleId="Heading7">
    <w:name w:val="heading 7"/>
    <w:basedOn w:val="Normal"/>
    <w:next w:val="Normal"/>
    <w:link w:val="Heading7Char"/>
    <w:qFormat/>
    <w:rsid w:val="00C323D5"/>
    <w:pPr>
      <w:ind w:left="720"/>
      <w:outlineLvl w:val="6"/>
    </w:pPr>
    <w:rPr>
      <w:i/>
    </w:rPr>
  </w:style>
  <w:style w:type="paragraph" w:styleId="Heading8">
    <w:name w:val="heading 8"/>
    <w:basedOn w:val="Normal"/>
    <w:next w:val="Normal"/>
    <w:link w:val="Heading8Char"/>
    <w:qFormat/>
    <w:rsid w:val="00C323D5"/>
    <w:pPr>
      <w:ind w:left="720"/>
      <w:outlineLvl w:val="7"/>
    </w:pPr>
    <w:rPr>
      <w:i/>
    </w:rPr>
  </w:style>
  <w:style w:type="paragraph" w:styleId="Heading9">
    <w:name w:val="heading 9"/>
    <w:basedOn w:val="Normal"/>
    <w:next w:val="Normal"/>
    <w:link w:val="Heading9Char"/>
    <w:qFormat/>
    <w:rsid w:val="00C323D5"/>
    <w:pPr>
      <w:ind w:left="720"/>
      <w:outlineLvl w:val="8"/>
    </w:pPr>
    <w:rPr>
      <w:i/>
    </w:rPr>
  </w:style>
  <w:style w:type="character" w:default="1" w:styleId="DefaultParagraphFont">
    <w:name w:val="Default Paragraph Font"/>
    <w:uiPriority w:val="1"/>
    <w:unhideWhenUsed/>
    <w:rsid w:val="00C323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23D5"/>
  </w:style>
  <w:style w:type="character" w:customStyle="1" w:styleId="Heading1Char">
    <w:name w:val="Heading 1 Char"/>
    <w:basedOn w:val="DefaultParagraphFont"/>
    <w:link w:val="Heading1"/>
    <w:rsid w:val="00C323D5"/>
    <w:rPr>
      <w:rFonts w:ascii="Times New Roman" w:eastAsia="Times New Roman" w:hAnsi="Times New Roman" w:cs="Times New Roman"/>
      <w:b/>
      <w:sz w:val="32"/>
      <w:szCs w:val="20"/>
      <w:lang w:eastAsia="en-US"/>
    </w:rPr>
  </w:style>
  <w:style w:type="paragraph" w:styleId="BodyText">
    <w:name w:val="Body Text"/>
    <w:basedOn w:val="Normal"/>
    <w:link w:val="BodyTextChar"/>
    <w:rsid w:val="00C323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23D5"/>
    <w:rPr>
      <w:rFonts w:ascii="Times New Roman" w:eastAsia="Times New Roman" w:hAnsi="Times New Roman" w:cs="Times New Roman"/>
      <w:sz w:val="24"/>
      <w:lang w:eastAsia="en-US"/>
    </w:rPr>
  </w:style>
  <w:style w:type="paragraph" w:styleId="ListBullet">
    <w:name w:val="List Bullet"/>
    <w:basedOn w:val="List"/>
    <w:rsid w:val="00C323D5"/>
    <w:pPr>
      <w:numPr>
        <w:numId w:val="12"/>
      </w:numPr>
      <w:tabs>
        <w:tab w:val="clear" w:pos="340"/>
      </w:tabs>
      <w:spacing w:before="40" w:after="40"/>
    </w:pPr>
  </w:style>
  <w:style w:type="character" w:customStyle="1" w:styleId="SpecialBold">
    <w:name w:val="Special Bold"/>
    <w:basedOn w:val="DefaultParagraphFont"/>
    <w:rsid w:val="00C323D5"/>
    <w:rPr>
      <w:b/>
      <w:spacing w:val="0"/>
    </w:rPr>
  </w:style>
  <w:style w:type="paragraph" w:styleId="ListBullet2">
    <w:name w:val="List Bullet 2"/>
    <w:basedOn w:val="List2"/>
    <w:rsid w:val="00C323D5"/>
    <w:pPr>
      <w:numPr>
        <w:numId w:val="13"/>
      </w:numPr>
      <w:tabs>
        <w:tab w:val="clear" w:pos="680"/>
      </w:tabs>
    </w:pPr>
  </w:style>
  <w:style w:type="paragraph" w:customStyle="1" w:styleId="SuperHeading">
    <w:name w:val="SuperHeading"/>
    <w:basedOn w:val="Normal"/>
    <w:rsid w:val="00C323D5"/>
    <w:pPr>
      <w:spacing w:before="240" w:after="120"/>
      <w:outlineLvl w:val="0"/>
    </w:pPr>
    <w:rPr>
      <w:rFonts w:ascii="Times New Roman" w:hAnsi="Times New Roman"/>
      <w:b/>
      <w:sz w:val="32"/>
    </w:rPr>
  </w:style>
  <w:style w:type="paragraph" w:customStyle="1" w:styleId="AllowPageBreak">
    <w:name w:val="AllowPageBreak"/>
    <w:rsid w:val="00C323D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323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23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23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23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23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23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23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23D5"/>
    <w:rPr>
      <w:rFonts w:ascii="Courier New" w:eastAsia="Times New Roman" w:hAnsi="Courier New" w:cs="Times New Roman"/>
      <w:i/>
      <w:szCs w:val="20"/>
      <w:lang w:eastAsia="en-US"/>
    </w:rPr>
  </w:style>
  <w:style w:type="paragraph" w:customStyle="1" w:styleId="HeadingBase">
    <w:name w:val="Heading Base"/>
    <w:rsid w:val="00C323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23D5"/>
    <w:pPr>
      <w:tabs>
        <w:tab w:val="right" w:leader="dot" w:pos="9072"/>
      </w:tabs>
      <w:ind w:left="567"/>
    </w:pPr>
    <w:rPr>
      <w:szCs w:val="22"/>
    </w:rPr>
  </w:style>
  <w:style w:type="paragraph" w:customStyle="1" w:styleId="TOCBase">
    <w:name w:val="TOC Base"/>
    <w:rsid w:val="00C323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23D5"/>
    <w:pPr>
      <w:tabs>
        <w:tab w:val="right" w:leader="dot" w:pos="9072"/>
      </w:tabs>
      <w:spacing w:before="40" w:after="40"/>
      <w:ind w:left="284"/>
    </w:pPr>
    <w:rPr>
      <w:rFonts w:ascii="Times New Roman" w:hAnsi="Times New Roman"/>
    </w:rPr>
  </w:style>
  <w:style w:type="paragraph" w:styleId="TOC1">
    <w:name w:val="toc 1"/>
    <w:basedOn w:val="TOCBase"/>
    <w:next w:val="Normal"/>
    <w:rsid w:val="00C323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23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23D5"/>
    <w:rPr>
      <w:rFonts w:ascii="Times New Roman" w:eastAsia="Times New Roman" w:hAnsi="Times New Roman" w:cs="Times New Roman"/>
      <w:sz w:val="16"/>
      <w:lang w:eastAsia="en-US"/>
    </w:rPr>
  </w:style>
  <w:style w:type="paragraph" w:styleId="Title">
    <w:name w:val="Title"/>
    <w:basedOn w:val="HeadingBase"/>
    <w:link w:val="TitleChar"/>
    <w:qFormat/>
    <w:rsid w:val="00C323D5"/>
    <w:pPr>
      <w:spacing w:before="5040"/>
      <w:jc w:val="center"/>
    </w:pPr>
    <w:rPr>
      <w:sz w:val="48"/>
      <w:szCs w:val="72"/>
      <w:lang w:val="en-US"/>
    </w:rPr>
  </w:style>
  <w:style w:type="character" w:customStyle="1" w:styleId="TitleChar">
    <w:name w:val="Title Char"/>
    <w:basedOn w:val="DefaultParagraphFont"/>
    <w:link w:val="Title"/>
    <w:rsid w:val="00C323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23D5"/>
    <w:pPr>
      <w:tabs>
        <w:tab w:val="left" w:pos="3600"/>
        <w:tab w:val="left" w:pos="3958"/>
      </w:tabs>
    </w:pPr>
  </w:style>
  <w:style w:type="paragraph" w:styleId="List">
    <w:name w:val="List"/>
    <w:basedOn w:val="BodyText"/>
    <w:next w:val="BodyText"/>
    <w:rsid w:val="00C323D5"/>
    <w:pPr>
      <w:tabs>
        <w:tab w:val="left" w:pos="340"/>
      </w:tabs>
      <w:spacing w:before="60" w:after="60"/>
      <w:ind w:left="340" w:hanging="340"/>
    </w:pPr>
  </w:style>
  <w:style w:type="paragraph" w:customStyle="1" w:styleId="Note">
    <w:name w:val="Note"/>
    <w:basedOn w:val="BodyText"/>
    <w:rsid w:val="00C323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23D5"/>
    <w:pPr>
      <w:framePr w:wrap="auto" w:hAnchor="text" w:y="6049"/>
    </w:pPr>
    <w:rPr>
      <w:color w:val="000000"/>
      <w:sz w:val="40"/>
    </w:rPr>
  </w:style>
  <w:style w:type="paragraph" w:customStyle="1" w:styleId="TOCTitle">
    <w:name w:val="TOCTitle"/>
    <w:basedOn w:val="Heading1"/>
    <w:rsid w:val="00C323D5"/>
    <w:pPr>
      <w:spacing w:after="240"/>
      <w:jc w:val="center"/>
      <w:outlineLvl w:val="9"/>
    </w:pPr>
    <w:rPr>
      <w:caps/>
    </w:rPr>
  </w:style>
  <w:style w:type="paragraph" w:customStyle="1" w:styleId="Version">
    <w:name w:val="Version"/>
    <w:rsid w:val="00C323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23D5"/>
    <w:pPr>
      <w:keepNext w:val="0"/>
      <w:tabs>
        <w:tab w:val="right" w:pos="4176"/>
      </w:tabs>
      <w:ind w:left="198" w:hanging="198"/>
    </w:pPr>
    <w:rPr>
      <w:rFonts w:ascii="Garamond" w:hAnsi="Garamond"/>
    </w:rPr>
  </w:style>
  <w:style w:type="paragraph" w:styleId="IndexHeading">
    <w:name w:val="index heading"/>
    <w:basedOn w:val="Normal"/>
    <w:next w:val="Index1"/>
    <w:semiHidden/>
    <w:rsid w:val="00C323D5"/>
    <w:pPr>
      <w:spacing w:before="120" w:after="120"/>
    </w:pPr>
    <w:rPr>
      <w:rFonts w:ascii="Arial" w:hAnsi="Arial"/>
      <w:b/>
      <w:color w:val="918585"/>
      <w:sz w:val="24"/>
    </w:rPr>
  </w:style>
  <w:style w:type="paragraph" w:styleId="Header">
    <w:name w:val="header"/>
    <w:basedOn w:val="Normal"/>
    <w:link w:val="HeaderChar"/>
    <w:rsid w:val="00C323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23D5"/>
    <w:rPr>
      <w:rFonts w:ascii="Times New Roman" w:eastAsia="Times New Roman" w:hAnsi="Times New Roman" w:cs="Times New Roman"/>
      <w:sz w:val="16"/>
      <w:szCs w:val="20"/>
      <w:lang w:val="en-GB" w:eastAsia="en-US"/>
    </w:rPr>
  </w:style>
  <w:style w:type="paragraph" w:customStyle="1" w:styleId="Chapter">
    <w:name w:val="Chapter"/>
    <w:basedOn w:val="Normal"/>
    <w:rsid w:val="00C323D5"/>
    <w:pPr>
      <w:spacing w:before="240"/>
    </w:pPr>
    <w:rPr>
      <w:rFonts w:ascii="Times New Roman" w:hAnsi="Times New Roman"/>
      <w:smallCaps/>
      <w:spacing w:val="80"/>
      <w:sz w:val="28"/>
    </w:rPr>
  </w:style>
  <w:style w:type="paragraph" w:customStyle="1" w:styleId="InChapter">
    <w:name w:val="InChapter"/>
    <w:basedOn w:val="Heading3"/>
    <w:rsid w:val="00C323D5"/>
    <w:pPr>
      <w:spacing w:after="240"/>
      <w:outlineLvl w:val="9"/>
    </w:pPr>
    <w:rPr>
      <w:noProof/>
    </w:rPr>
  </w:style>
  <w:style w:type="paragraph" w:styleId="Index2">
    <w:name w:val="index 2"/>
    <w:basedOn w:val="Normal"/>
    <w:next w:val="Normal"/>
    <w:semiHidden/>
    <w:rsid w:val="00C323D5"/>
    <w:pPr>
      <w:tabs>
        <w:tab w:val="right" w:pos="4176"/>
      </w:tabs>
      <w:ind w:left="568" w:hanging="284"/>
    </w:pPr>
    <w:rPr>
      <w:rFonts w:ascii="Garamond" w:hAnsi="Garamond"/>
    </w:rPr>
  </w:style>
  <w:style w:type="paragraph" w:customStyle="1" w:styleId="Byline">
    <w:name w:val="Byline"/>
    <w:rsid w:val="00C323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23D5"/>
    <w:pPr>
      <w:tabs>
        <w:tab w:val="clear" w:pos="3600"/>
        <w:tab w:val="clear" w:pos="3958"/>
      </w:tabs>
      <w:jc w:val="right"/>
    </w:pPr>
  </w:style>
  <w:style w:type="character" w:styleId="Emphasis">
    <w:name w:val="Emphasis"/>
    <w:basedOn w:val="DefaultParagraphFont"/>
    <w:qFormat/>
    <w:rsid w:val="00C323D5"/>
    <w:rPr>
      <w:i/>
    </w:rPr>
  </w:style>
  <w:style w:type="paragraph" w:styleId="Caption">
    <w:name w:val="caption"/>
    <w:basedOn w:val="BodyText"/>
    <w:next w:val="Normal"/>
    <w:qFormat/>
    <w:rsid w:val="00C323D5"/>
    <w:pPr>
      <w:framePr w:w="2268" w:hSpace="181" w:vSpace="181" w:wrap="around" w:vAnchor="text" w:hAnchor="page" w:x="1135" w:y="285" w:anchorLock="1"/>
    </w:pPr>
    <w:rPr>
      <w:i/>
    </w:rPr>
  </w:style>
  <w:style w:type="paragraph" w:customStyle="1" w:styleId="MiniTOCTitle">
    <w:name w:val="MiniTOCTitle"/>
    <w:basedOn w:val="Heading4"/>
    <w:rsid w:val="00C323D5"/>
    <w:pPr>
      <w:spacing w:before="240"/>
      <w:outlineLvl w:val="9"/>
    </w:pPr>
    <w:rPr>
      <w:noProof/>
      <w:sz w:val="24"/>
    </w:rPr>
  </w:style>
  <w:style w:type="paragraph" w:customStyle="1" w:styleId="MiniTOCItem">
    <w:name w:val="MiniTOCItem"/>
    <w:basedOn w:val="ListBullet"/>
    <w:rsid w:val="00C323D5"/>
    <w:pPr>
      <w:numPr>
        <w:numId w:val="0"/>
      </w:numPr>
      <w:tabs>
        <w:tab w:val="right" w:leader="dot" w:pos="6521"/>
      </w:tabs>
      <w:spacing w:before="0" w:after="0"/>
    </w:pPr>
  </w:style>
  <w:style w:type="paragraph" w:customStyle="1" w:styleId="TOFTitle">
    <w:name w:val="TOFTitle"/>
    <w:basedOn w:val="TOCTitle"/>
    <w:rsid w:val="00C323D5"/>
  </w:style>
  <w:style w:type="paragraph" w:styleId="TableofFigures">
    <w:name w:val="table of figures"/>
    <w:basedOn w:val="Normal"/>
    <w:next w:val="Normal"/>
    <w:semiHidden/>
    <w:rsid w:val="00C323D5"/>
    <w:pPr>
      <w:tabs>
        <w:tab w:val="right" w:leader="dot" w:pos="9072"/>
      </w:tabs>
      <w:ind w:left="970" w:hanging="403"/>
    </w:pPr>
    <w:rPr>
      <w:rFonts w:ascii="Times New Roman" w:hAnsi="Times New Roman"/>
      <w:b/>
    </w:rPr>
  </w:style>
  <w:style w:type="paragraph" w:styleId="ListNumber">
    <w:name w:val="List Number"/>
    <w:basedOn w:val="List"/>
    <w:rsid w:val="00C323D5"/>
    <w:pPr>
      <w:numPr>
        <w:numId w:val="15"/>
      </w:numPr>
      <w:tabs>
        <w:tab w:val="clear" w:pos="340"/>
      </w:tabs>
    </w:pPr>
  </w:style>
  <w:style w:type="character" w:customStyle="1" w:styleId="WingdingSymbols">
    <w:name w:val="Wingding Symbols"/>
    <w:rsid w:val="00C323D5"/>
    <w:rPr>
      <w:rFonts w:ascii="Wingdings" w:hAnsi="Wingdings"/>
    </w:rPr>
  </w:style>
  <w:style w:type="paragraph" w:customStyle="1" w:styleId="TableHeading">
    <w:name w:val="Table Heading"/>
    <w:basedOn w:val="HeadingBase"/>
    <w:rsid w:val="00C323D5"/>
    <w:pPr>
      <w:keepLines/>
      <w:pBdr>
        <w:bottom w:val="single" w:sz="6" w:space="1" w:color="918585"/>
      </w:pBdr>
      <w:spacing w:before="240"/>
    </w:pPr>
  </w:style>
  <w:style w:type="character" w:customStyle="1" w:styleId="HotSpot">
    <w:name w:val="HotSpot"/>
    <w:rsid w:val="00C323D5"/>
    <w:rPr>
      <w:color w:val="0033CC"/>
      <w:u w:val="none"/>
    </w:rPr>
  </w:style>
  <w:style w:type="paragraph" w:customStyle="1" w:styleId="BodyTextRight">
    <w:name w:val="Body Text Right"/>
    <w:basedOn w:val="BodyText"/>
    <w:rsid w:val="00C323D5"/>
    <w:pPr>
      <w:spacing w:before="0" w:after="0"/>
      <w:jc w:val="right"/>
    </w:pPr>
  </w:style>
  <w:style w:type="paragraph" w:styleId="Index3">
    <w:name w:val="index 3"/>
    <w:basedOn w:val="ListNumber2"/>
    <w:next w:val="Normal"/>
    <w:semiHidden/>
    <w:rsid w:val="00C323D5"/>
    <w:pPr>
      <w:numPr>
        <w:numId w:val="0"/>
      </w:numPr>
      <w:tabs>
        <w:tab w:val="right" w:leader="dot" w:pos="4176"/>
      </w:tabs>
    </w:pPr>
  </w:style>
  <w:style w:type="paragraph" w:styleId="ListNumber2">
    <w:name w:val="List Number 2"/>
    <w:basedOn w:val="List2"/>
    <w:rsid w:val="00C323D5"/>
    <w:pPr>
      <w:numPr>
        <w:numId w:val="10"/>
      </w:numPr>
      <w:tabs>
        <w:tab w:val="clear" w:pos="1060"/>
      </w:tabs>
    </w:pPr>
  </w:style>
  <w:style w:type="paragraph" w:customStyle="1" w:styleId="MarginNote">
    <w:name w:val="Margin Note"/>
    <w:basedOn w:val="BodyText"/>
    <w:rsid w:val="00C323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23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23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23D5"/>
    <w:rPr>
      <w:sz w:val="32"/>
    </w:rPr>
  </w:style>
  <w:style w:type="paragraph" w:customStyle="1" w:styleId="HeadingProcedure">
    <w:name w:val="Heading Procedure"/>
    <w:basedOn w:val="HeadingBase"/>
    <w:next w:val="Normal"/>
    <w:rsid w:val="00C323D5"/>
    <w:pPr>
      <w:tabs>
        <w:tab w:val="left" w:pos="0"/>
      </w:tabs>
      <w:spacing w:before="120" w:after="60"/>
    </w:pPr>
    <w:rPr>
      <w:i/>
      <w:color w:val="918585"/>
      <w:sz w:val="22"/>
    </w:rPr>
  </w:style>
  <w:style w:type="paragraph" w:customStyle="1" w:styleId="TableBodyText">
    <w:name w:val="Table Body Text"/>
    <w:basedOn w:val="BodyText"/>
    <w:rsid w:val="00C323D5"/>
    <w:pPr>
      <w:spacing w:before="60" w:after="60"/>
    </w:pPr>
  </w:style>
  <w:style w:type="paragraph" w:styleId="ListContinue">
    <w:name w:val="List Continue"/>
    <w:basedOn w:val="List"/>
    <w:rsid w:val="00C323D5"/>
    <w:pPr>
      <w:ind w:firstLine="0"/>
    </w:pPr>
  </w:style>
  <w:style w:type="paragraph" w:customStyle="1" w:styleId="ListNote">
    <w:name w:val="List Note"/>
    <w:basedOn w:val="List"/>
    <w:rsid w:val="00C323D5"/>
    <w:pPr>
      <w:pBdr>
        <w:top w:val="single" w:sz="6" w:space="2" w:color="918585"/>
        <w:bottom w:val="single" w:sz="6" w:space="2" w:color="918585"/>
      </w:pBdr>
      <w:tabs>
        <w:tab w:val="left" w:pos="1021"/>
      </w:tabs>
      <w:ind w:firstLine="0"/>
    </w:pPr>
  </w:style>
  <w:style w:type="paragraph" w:customStyle="1" w:styleId="Warning">
    <w:name w:val="Warning"/>
    <w:basedOn w:val="BodyText"/>
    <w:rsid w:val="00C323D5"/>
    <w:pPr>
      <w:shd w:val="clear" w:color="auto" w:fill="D9D9D9"/>
      <w:tabs>
        <w:tab w:val="left" w:pos="992"/>
      </w:tabs>
      <w:ind w:left="119" w:right="119"/>
    </w:pPr>
    <w:rPr>
      <w:sz w:val="20"/>
    </w:rPr>
  </w:style>
  <w:style w:type="paragraph" w:customStyle="1" w:styleId="MarginIcons">
    <w:name w:val="Margin Icons"/>
    <w:basedOn w:val="BodyText"/>
    <w:rsid w:val="00C323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23D5"/>
    <w:rPr>
      <w:rFonts w:ascii="Courier New" w:hAnsi="Courier New"/>
    </w:rPr>
  </w:style>
  <w:style w:type="paragraph" w:customStyle="1" w:styleId="NoteBullet">
    <w:name w:val="Note Bullet"/>
    <w:basedOn w:val="Note"/>
    <w:rsid w:val="00C323D5"/>
    <w:pPr>
      <w:tabs>
        <w:tab w:val="clear" w:pos="680"/>
      </w:tabs>
      <w:spacing w:before="60" w:after="60"/>
    </w:pPr>
  </w:style>
  <w:style w:type="paragraph" w:customStyle="1" w:styleId="SubHeading2">
    <w:name w:val="SubHeading2"/>
    <w:basedOn w:val="HeadingBase"/>
    <w:rsid w:val="00C323D5"/>
    <w:pPr>
      <w:spacing w:before="240" w:after="60"/>
    </w:pPr>
    <w:rPr>
      <w:sz w:val="20"/>
    </w:rPr>
  </w:style>
  <w:style w:type="paragraph" w:customStyle="1" w:styleId="SubHeading1">
    <w:name w:val="SubHeading1"/>
    <w:basedOn w:val="HeadingBase"/>
    <w:rsid w:val="00C323D5"/>
    <w:pPr>
      <w:spacing w:before="240" w:after="60"/>
    </w:pPr>
    <w:rPr>
      <w:color w:val="918585"/>
      <w:sz w:val="22"/>
    </w:rPr>
  </w:style>
  <w:style w:type="paragraph" w:customStyle="1" w:styleId="SideHeading">
    <w:name w:val="Side Heading"/>
    <w:basedOn w:val="HeadingBase"/>
    <w:rsid w:val="00C323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23D5"/>
    <w:pPr>
      <w:tabs>
        <w:tab w:val="num" w:pos="360"/>
      </w:tabs>
    </w:pPr>
  </w:style>
  <w:style w:type="paragraph" w:styleId="PlainText">
    <w:name w:val="Plain Text"/>
    <w:basedOn w:val="Normal"/>
    <w:link w:val="PlainTextChar"/>
    <w:rsid w:val="00C323D5"/>
    <w:rPr>
      <w:sz w:val="20"/>
    </w:rPr>
  </w:style>
  <w:style w:type="character" w:customStyle="1" w:styleId="PlainTextChar">
    <w:name w:val="Plain Text Char"/>
    <w:basedOn w:val="DefaultParagraphFont"/>
    <w:link w:val="PlainText"/>
    <w:rsid w:val="00C323D5"/>
    <w:rPr>
      <w:rFonts w:ascii="Courier New" w:eastAsia="Times New Roman" w:hAnsi="Courier New" w:cs="Times New Roman"/>
      <w:sz w:val="20"/>
      <w:szCs w:val="20"/>
      <w:lang w:eastAsia="en-US"/>
    </w:rPr>
  </w:style>
  <w:style w:type="character" w:customStyle="1" w:styleId="MenuOption">
    <w:name w:val="Menu Option"/>
    <w:basedOn w:val="DefaultParagraphFont"/>
    <w:rsid w:val="00C323D5"/>
    <w:rPr>
      <w:b/>
      <w:smallCaps/>
    </w:rPr>
  </w:style>
  <w:style w:type="paragraph" w:customStyle="1" w:styleId="TableListNumber">
    <w:name w:val="Table List Number"/>
    <w:basedOn w:val="ListNumber"/>
    <w:rsid w:val="00C323D5"/>
    <w:pPr>
      <w:numPr>
        <w:numId w:val="0"/>
      </w:numPr>
    </w:pPr>
  </w:style>
  <w:style w:type="paragraph" w:styleId="TOC4">
    <w:name w:val="toc 4"/>
    <w:basedOn w:val="TOCBase"/>
    <w:next w:val="Normal"/>
    <w:semiHidden/>
    <w:rsid w:val="00C323D5"/>
    <w:pPr>
      <w:tabs>
        <w:tab w:val="right" w:leader="dot" w:pos="9071"/>
      </w:tabs>
      <w:ind w:left="1701"/>
    </w:pPr>
  </w:style>
  <w:style w:type="paragraph" w:customStyle="1" w:styleId="ListAlpha">
    <w:name w:val="List Alpha"/>
    <w:basedOn w:val="List"/>
    <w:rsid w:val="00C323D5"/>
    <w:pPr>
      <w:numPr>
        <w:numId w:val="9"/>
      </w:numPr>
    </w:pPr>
  </w:style>
  <w:style w:type="paragraph" w:customStyle="1" w:styleId="ListAlpha2">
    <w:name w:val="List Alpha 2"/>
    <w:basedOn w:val="List2"/>
    <w:rsid w:val="00C323D5"/>
    <w:pPr>
      <w:numPr>
        <w:numId w:val="8"/>
      </w:numPr>
    </w:pPr>
  </w:style>
  <w:style w:type="paragraph" w:styleId="List2">
    <w:name w:val="List 2"/>
    <w:basedOn w:val="BodyText"/>
    <w:rsid w:val="00C323D5"/>
    <w:pPr>
      <w:tabs>
        <w:tab w:val="left" w:pos="680"/>
      </w:tabs>
      <w:spacing w:before="60" w:after="60"/>
      <w:ind w:left="680" w:hanging="340"/>
    </w:pPr>
  </w:style>
  <w:style w:type="paragraph" w:styleId="List3">
    <w:name w:val="List 3"/>
    <w:basedOn w:val="BodyText"/>
    <w:rsid w:val="00C323D5"/>
    <w:pPr>
      <w:tabs>
        <w:tab w:val="left" w:pos="1021"/>
      </w:tabs>
      <w:spacing w:before="60" w:after="60"/>
      <w:ind w:left="1020" w:hanging="340"/>
    </w:pPr>
  </w:style>
  <w:style w:type="paragraph" w:styleId="List4">
    <w:name w:val="List 4"/>
    <w:basedOn w:val="BodyText"/>
    <w:rsid w:val="00C323D5"/>
    <w:pPr>
      <w:tabs>
        <w:tab w:val="left" w:pos="1361"/>
      </w:tabs>
      <w:spacing w:before="60" w:after="60"/>
      <w:ind w:left="1361" w:hanging="340"/>
    </w:pPr>
  </w:style>
  <w:style w:type="paragraph" w:styleId="List5">
    <w:name w:val="List 5"/>
    <w:basedOn w:val="BodyText"/>
    <w:rsid w:val="00C323D5"/>
    <w:pPr>
      <w:tabs>
        <w:tab w:val="left" w:pos="1701"/>
      </w:tabs>
      <w:spacing w:before="60" w:after="60"/>
      <w:ind w:left="1701" w:hanging="340"/>
    </w:pPr>
  </w:style>
  <w:style w:type="paragraph" w:styleId="ListBullet3">
    <w:name w:val="List Bullet 3"/>
    <w:basedOn w:val="List3"/>
    <w:rsid w:val="00C323D5"/>
    <w:pPr>
      <w:numPr>
        <w:numId w:val="14"/>
      </w:numPr>
      <w:tabs>
        <w:tab w:val="clear" w:pos="1021"/>
      </w:tabs>
      <w:ind w:left="1037" w:hanging="357"/>
    </w:pPr>
  </w:style>
  <w:style w:type="paragraph" w:styleId="ListBullet4">
    <w:name w:val="List Bullet 4"/>
    <w:basedOn w:val="List4"/>
    <w:rsid w:val="00C323D5"/>
    <w:pPr>
      <w:numPr>
        <w:numId w:val="3"/>
      </w:numPr>
      <w:tabs>
        <w:tab w:val="clear" w:pos="1361"/>
      </w:tabs>
    </w:pPr>
  </w:style>
  <w:style w:type="paragraph" w:styleId="ListBullet5">
    <w:name w:val="List Bullet 5"/>
    <w:basedOn w:val="List5"/>
    <w:rsid w:val="00C323D5"/>
    <w:pPr>
      <w:numPr>
        <w:numId w:val="4"/>
      </w:numPr>
    </w:pPr>
  </w:style>
  <w:style w:type="paragraph" w:styleId="ListContinue2">
    <w:name w:val="List Continue 2"/>
    <w:basedOn w:val="List2"/>
    <w:rsid w:val="00C323D5"/>
    <w:pPr>
      <w:ind w:firstLine="0"/>
    </w:pPr>
  </w:style>
  <w:style w:type="paragraph" w:styleId="ListContinue3">
    <w:name w:val="List Continue 3"/>
    <w:basedOn w:val="List3"/>
    <w:rsid w:val="00C323D5"/>
    <w:pPr>
      <w:ind w:left="1021" w:firstLine="0"/>
    </w:pPr>
  </w:style>
  <w:style w:type="paragraph" w:styleId="ListContinue4">
    <w:name w:val="List Continue 4"/>
    <w:basedOn w:val="List4"/>
    <w:rsid w:val="00C323D5"/>
    <w:pPr>
      <w:ind w:firstLine="0"/>
    </w:pPr>
  </w:style>
  <w:style w:type="paragraph" w:styleId="ListContinue5">
    <w:name w:val="List Continue 5"/>
    <w:basedOn w:val="List5"/>
    <w:rsid w:val="00C323D5"/>
    <w:pPr>
      <w:ind w:firstLine="0"/>
    </w:pPr>
  </w:style>
  <w:style w:type="paragraph" w:styleId="ListNumber3">
    <w:name w:val="List Number 3"/>
    <w:basedOn w:val="List3"/>
    <w:rsid w:val="00C323D5"/>
    <w:pPr>
      <w:numPr>
        <w:numId w:val="5"/>
      </w:numPr>
    </w:pPr>
  </w:style>
  <w:style w:type="paragraph" w:styleId="ListNumber4">
    <w:name w:val="List Number 4"/>
    <w:basedOn w:val="List4"/>
    <w:rsid w:val="00C323D5"/>
    <w:pPr>
      <w:numPr>
        <w:numId w:val="6"/>
      </w:numPr>
    </w:pPr>
  </w:style>
  <w:style w:type="paragraph" w:styleId="ListNumber5">
    <w:name w:val="List Number 5"/>
    <w:basedOn w:val="List5"/>
    <w:rsid w:val="00C323D5"/>
    <w:pPr>
      <w:numPr>
        <w:numId w:val="7"/>
      </w:numPr>
    </w:pPr>
  </w:style>
  <w:style w:type="paragraph" w:styleId="BlockText">
    <w:name w:val="Block Text"/>
    <w:basedOn w:val="Normal"/>
    <w:rsid w:val="00C323D5"/>
    <w:pPr>
      <w:spacing w:after="120"/>
      <w:ind w:left="1440" w:right="1440"/>
    </w:pPr>
  </w:style>
  <w:style w:type="character" w:customStyle="1" w:styleId="Subscript">
    <w:name w:val="Subscript"/>
    <w:basedOn w:val="DefaultParagraphFont"/>
    <w:rsid w:val="00C323D5"/>
    <w:rPr>
      <w:sz w:val="16"/>
      <w:vertAlign w:val="subscript"/>
    </w:rPr>
  </w:style>
  <w:style w:type="character" w:customStyle="1" w:styleId="Superscript">
    <w:name w:val="Superscript"/>
    <w:basedOn w:val="DefaultParagraphFont"/>
    <w:rsid w:val="00C323D5"/>
    <w:rPr>
      <w:sz w:val="16"/>
      <w:vertAlign w:val="superscript"/>
    </w:rPr>
  </w:style>
  <w:style w:type="character" w:customStyle="1" w:styleId="Symbols">
    <w:name w:val="Symbols"/>
    <w:basedOn w:val="DefaultParagraphFont"/>
    <w:rsid w:val="00C323D5"/>
    <w:rPr>
      <w:rFonts w:ascii="Symbol" w:hAnsi="Symbol"/>
    </w:rPr>
  </w:style>
  <w:style w:type="character" w:customStyle="1" w:styleId="MenuOptions">
    <w:name w:val="Menu Options"/>
    <w:basedOn w:val="DefaultParagraphFont"/>
    <w:rsid w:val="00C323D5"/>
    <w:rPr>
      <w:rFonts w:ascii="Arial Narrow" w:hAnsi="Arial Narrow"/>
      <w:smallCaps/>
    </w:rPr>
  </w:style>
  <w:style w:type="character" w:customStyle="1" w:styleId="Buttons">
    <w:name w:val="Buttons"/>
    <w:basedOn w:val="DefaultParagraphFont"/>
    <w:rsid w:val="00C323D5"/>
    <w:rPr>
      <w:b/>
    </w:rPr>
  </w:style>
  <w:style w:type="character" w:customStyle="1" w:styleId="Underlined">
    <w:name w:val="Underlined"/>
    <w:basedOn w:val="DefaultParagraphFont"/>
    <w:rsid w:val="00C323D5"/>
    <w:rPr>
      <w:u w:val="single"/>
    </w:rPr>
  </w:style>
  <w:style w:type="paragraph" w:customStyle="1" w:styleId="TableBodyTextRight">
    <w:name w:val="Table Body Text Right"/>
    <w:basedOn w:val="TableBodyText"/>
    <w:rsid w:val="00C323D5"/>
    <w:pPr>
      <w:widowControl w:val="0"/>
      <w:autoSpaceDE w:val="0"/>
      <w:autoSpaceDN w:val="0"/>
      <w:adjustRightInd w:val="0"/>
      <w:jc w:val="right"/>
    </w:pPr>
    <w:rPr>
      <w:rFonts w:cs="Arial"/>
      <w:szCs w:val="18"/>
    </w:rPr>
  </w:style>
  <w:style w:type="paragraph" w:customStyle="1" w:styleId="CopyrightText">
    <w:name w:val="Copyright Text"/>
    <w:basedOn w:val="BodyText"/>
    <w:rsid w:val="00C323D5"/>
    <w:rPr>
      <w:sz w:val="18"/>
    </w:rPr>
  </w:style>
  <w:style w:type="paragraph" w:customStyle="1" w:styleId="BodySmallRight">
    <w:name w:val="Body Small Right"/>
    <w:basedOn w:val="BodyTextRight"/>
    <w:rsid w:val="00C323D5"/>
    <w:rPr>
      <w:sz w:val="18"/>
      <w:szCs w:val="18"/>
    </w:rPr>
  </w:style>
  <w:style w:type="paragraph" w:customStyle="1" w:styleId="MarginEdition">
    <w:name w:val="Margin Edition"/>
    <w:basedOn w:val="MarginNote"/>
    <w:rsid w:val="00C323D5"/>
    <w:pPr>
      <w:spacing w:before="0" w:after="0"/>
    </w:pPr>
    <w:rPr>
      <w:rFonts w:ascii="Times New Roman" w:hAnsi="Times New Roman"/>
      <w:color w:val="999999"/>
    </w:rPr>
  </w:style>
  <w:style w:type="paragraph" w:customStyle="1" w:styleId="Spacer">
    <w:name w:val="Spacer"/>
    <w:basedOn w:val="Normal"/>
    <w:rsid w:val="00C323D5"/>
    <w:rPr>
      <w:sz w:val="2"/>
      <w:szCs w:val="2"/>
    </w:rPr>
  </w:style>
  <w:style w:type="character" w:customStyle="1" w:styleId="Small">
    <w:name w:val="Small"/>
    <w:basedOn w:val="DefaultParagraphFont"/>
    <w:rsid w:val="00C323D5"/>
    <w:rPr>
      <w:sz w:val="16"/>
    </w:rPr>
  </w:style>
  <w:style w:type="paragraph" w:customStyle="1" w:styleId="WideTable">
    <w:name w:val="Wide Table"/>
    <w:basedOn w:val="Normal"/>
    <w:rsid w:val="00C323D5"/>
    <w:pPr>
      <w:ind w:left="-1418"/>
    </w:pPr>
    <w:rPr>
      <w:sz w:val="2"/>
      <w:szCs w:val="2"/>
    </w:rPr>
  </w:style>
  <w:style w:type="character" w:styleId="PageNumber">
    <w:name w:val="page number"/>
    <w:basedOn w:val="DefaultParagraphFont"/>
    <w:rsid w:val="00C323D5"/>
  </w:style>
  <w:style w:type="paragraph" w:styleId="Quote">
    <w:name w:val="Quote"/>
    <w:basedOn w:val="Heading1"/>
    <w:link w:val="QuoteChar"/>
    <w:qFormat/>
    <w:rsid w:val="00C323D5"/>
    <w:rPr>
      <w:b w:val="0"/>
      <w:sz w:val="72"/>
      <w:szCs w:val="72"/>
      <w:lang w:val="en-NZ"/>
    </w:rPr>
  </w:style>
  <w:style w:type="character" w:customStyle="1" w:styleId="QuoteChar">
    <w:name w:val="Quote Char"/>
    <w:basedOn w:val="DefaultParagraphFont"/>
    <w:link w:val="Quote"/>
    <w:rsid w:val="00C323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23D5"/>
    <w:pPr>
      <w:pageBreakBefore/>
    </w:pPr>
  </w:style>
  <w:style w:type="paragraph" w:customStyle="1" w:styleId="Border">
    <w:name w:val="Border"/>
    <w:basedOn w:val="Normal"/>
    <w:qFormat/>
    <w:rsid w:val="00C323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23D5"/>
    <w:rPr>
      <w:b/>
      <w:bCs/>
      <w:i/>
      <w:iCs/>
      <w:color w:val="auto"/>
    </w:rPr>
  </w:style>
  <w:style w:type="paragraph" w:styleId="IntenseQuote">
    <w:name w:val="Intense Quote"/>
    <w:basedOn w:val="Normal"/>
    <w:next w:val="Normal"/>
    <w:link w:val="IntenseQuoteChar"/>
    <w:uiPriority w:val="30"/>
    <w:qFormat/>
    <w:rsid w:val="00C323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23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23D5"/>
    <w:rPr>
      <w:smallCaps/>
      <w:color w:val="auto"/>
      <w:u w:val="single"/>
    </w:rPr>
  </w:style>
  <w:style w:type="character" w:styleId="IntenseReference">
    <w:name w:val="Intense Reference"/>
    <w:basedOn w:val="DefaultParagraphFont"/>
    <w:uiPriority w:val="32"/>
    <w:qFormat/>
    <w:rsid w:val="00C323D5"/>
    <w:rPr>
      <w:b/>
      <w:bCs/>
      <w:smallCaps/>
      <w:color w:val="auto"/>
      <w:spacing w:val="5"/>
      <w:u w:val="single"/>
    </w:rPr>
  </w:style>
  <w:style w:type="paragraph" w:customStyle="1" w:styleId="2ColumnHeading">
    <w:name w:val="2Column Heading"/>
    <w:basedOn w:val="BodyText"/>
    <w:qFormat/>
    <w:rsid w:val="00C323D5"/>
    <w:pPr>
      <w:spacing w:after="60"/>
      <w:ind w:left="-2268"/>
    </w:pPr>
    <w:rPr>
      <w:b/>
    </w:rPr>
  </w:style>
  <w:style w:type="paragraph" w:customStyle="1" w:styleId="Heading1TOC">
    <w:name w:val="Heading1 TOC"/>
    <w:basedOn w:val="Normal"/>
    <w:qFormat/>
    <w:rsid w:val="00C323D5"/>
    <w:pPr>
      <w:spacing w:before="240" w:after="120"/>
    </w:pPr>
    <w:rPr>
      <w:rFonts w:ascii="Times New Roman" w:hAnsi="Times New Roman"/>
      <w:b/>
      <w:sz w:val="32"/>
    </w:rPr>
  </w:style>
  <w:style w:type="paragraph" w:customStyle="1" w:styleId="Heading2TOC">
    <w:name w:val="Heading2 TOC"/>
    <w:basedOn w:val="Normal"/>
    <w:qFormat/>
    <w:rsid w:val="00C323D5"/>
    <w:pPr>
      <w:spacing w:before="240" w:after="60"/>
    </w:pPr>
    <w:rPr>
      <w:rFonts w:ascii="Times New Roman" w:hAnsi="Times New Roman"/>
      <w:b/>
      <w:sz w:val="28"/>
    </w:rPr>
  </w:style>
  <w:style w:type="character" w:customStyle="1" w:styleId="Underline">
    <w:name w:val="Underline"/>
    <w:basedOn w:val="DefaultParagraphFont"/>
    <w:qFormat/>
    <w:rsid w:val="00C323D5"/>
    <w:rPr>
      <w:u w:val="single"/>
    </w:rPr>
  </w:style>
  <w:style w:type="character" w:customStyle="1" w:styleId="BoldandItalics">
    <w:name w:val="Bold and Italics"/>
    <w:qFormat/>
    <w:rsid w:val="00C323D5"/>
    <w:rPr>
      <w:b/>
      <w:i/>
      <w:u w:val="none"/>
    </w:rPr>
  </w:style>
  <w:style w:type="paragraph" w:styleId="BalloonText">
    <w:name w:val="Balloon Text"/>
    <w:basedOn w:val="Normal"/>
    <w:link w:val="BalloonTextChar"/>
    <w:rsid w:val="00C323D5"/>
    <w:rPr>
      <w:rFonts w:ascii="Tahoma" w:hAnsi="Tahoma" w:cs="Tahoma"/>
      <w:sz w:val="16"/>
      <w:szCs w:val="16"/>
    </w:rPr>
  </w:style>
  <w:style w:type="character" w:customStyle="1" w:styleId="BalloonTextChar">
    <w:name w:val="Balloon Text Char"/>
    <w:basedOn w:val="DefaultParagraphFont"/>
    <w:link w:val="BalloonText"/>
    <w:rsid w:val="00C323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23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23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23D5"/>
    <w:rPr>
      <w:b/>
      <w:color w:val="660033"/>
      <w:spacing w:val="0"/>
    </w:rPr>
  </w:style>
  <w:style w:type="paragraph" w:customStyle="1" w:styleId="Nameditemlist">
    <w:name w:val="Named item list"/>
    <w:basedOn w:val="BodyText"/>
    <w:qFormat/>
    <w:rsid w:val="00C323D5"/>
    <w:pPr>
      <w:tabs>
        <w:tab w:val="left" w:pos="2835"/>
      </w:tabs>
      <w:ind w:left="2835" w:hanging="2835"/>
    </w:pPr>
  </w:style>
  <w:style w:type="paragraph" w:customStyle="1" w:styleId="BodyTextnopadding">
    <w:name w:val="Body Text no padding"/>
    <w:basedOn w:val="BodyText"/>
    <w:qFormat/>
    <w:rsid w:val="00C323D5"/>
    <w:pPr>
      <w:spacing w:before="0" w:after="0"/>
    </w:pPr>
  </w:style>
  <w:style w:type="paragraph" w:customStyle="1" w:styleId="BodyTextBold">
    <w:name w:val="Body Text Bold"/>
    <w:basedOn w:val="BodyText"/>
    <w:qFormat/>
    <w:rsid w:val="00C323D5"/>
    <w:rPr>
      <w:b/>
    </w:rPr>
  </w:style>
  <w:style w:type="character" w:styleId="Hyperlink">
    <w:name w:val="Hyperlink"/>
    <w:basedOn w:val="DefaultParagraphFont"/>
    <w:uiPriority w:val="99"/>
    <w:unhideWhenUsed/>
    <w:rsid w:val="00ED42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1060</Words>
  <Characters>6966</Characters>
  <Application>Microsoft Office Word</Application>
  <DocSecurity>0</DocSecurity>
  <Lines>240</Lines>
  <Paragraphs>148</Paragraphs>
  <ScaleCrop>false</ScaleCrop>
  <Company>Author-it Software Corporation Ltd.</Company>
  <LinksUpToDate>false</LinksUpToDate>
  <CharactersWithSpaces>7878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UETDRDS015 Assess distributed energy resource connections to a distribution network</dc:title>
  <dc:subject>Approved</dc:subject>
  <dc:creator>Powering Skills Organisation</dc:creator>
  <cp:keywords>Release: 1</cp:keywords>
  <dc:description>Review Date: 12 April 2008</dc:description>
  <cp:lastModifiedBy>HSD_TPCMSd.prod</cp:lastModifiedBy>
  <cp:revision>3</cp:revision>
  <dcterms:created xsi:type="dcterms:W3CDTF">2025-03-01T13:07:00Z</dcterms:created>
  <dcterms:modified xsi:type="dcterms:W3CDTF">2025-03-01T13:08:00Z</dcterms:modified>
</cp:coreProperties>
</file>