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481" w:rsidP="005E5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UETDRDS002 Design overhead distribution power systems</w:t>
      </w:r>
      <w:r>
        <w:fldChar w:fldCharType="end"/>
      </w:r>
    </w:p>
    <w:p w:rsidR="005E5481" w:rsidP="005E5481">
      <w:pPr>
        <w:pStyle w:val="Version"/>
        <w:sectPr w:rsidSect="00EB6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A7F" w:rsidP="00EB6A7F">
      <w:pPr>
        <w:pStyle w:val="SuperHeading"/>
      </w:pPr>
      <w:r w:rsidRPr="00EB6A7F">
        <w:t>UETDRDS002 Design overhead distribution power systems</w:t>
      </w:r>
    </w:p>
    <w:p w:rsidR="00000000" w:rsidRPr="00EB6A7F" w:rsidP="00EB6A7F">
      <w:pPr>
        <w:pStyle w:val="Heading1"/>
      </w:pPr>
      <w:bookmarkStart w:id="1" w:name="O_1177636"/>
      <w:bookmarkEnd w:id="1"/>
      <w:r w:rsidRPr="00EB6A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B6A7F" w:rsidP="00EB6A7F">
      <w:pPr>
        <w:pStyle w:val="NoPaddingFontSize1"/>
      </w:pPr>
    </w:p>
    <w:p w:rsidR="00000000" w:rsidRPr="00EB6A7F" w:rsidP="00EB6A7F">
      <w:pPr>
        <w:pStyle w:val="AllowPageBreak"/>
      </w:pPr>
    </w:p>
    <w:p w:rsidR="00000000" w:rsidRPr="00EB6A7F" w:rsidP="00EB6A7F">
      <w:pPr>
        <w:pStyle w:val="Heading1"/>
      </w:pPr>
      <w:bookmarkStart w:id="2" w:name="O_1177637"/>
      <w:bookmarkEnd w:id="2"/>
      <w:r w:rsidRPr="00EB6A7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t>This unit covers the technical desig</w:t>
            </w:r>
            <w:r w:rsidRPr="00EB6A7F">
              <w:t>n of overhead distribution and sub-transmission networks to relevant standards, including electrical clearances, electrical and mechanical loadings, earthing, environmental considerations, minor civil aspects and the handling of waterway, railway and other</w:t>
            </w:r>
            <w:r w:rsidRPr="00EB6A7F">
              <w:t xml:space="preserve"> crossings. It also includes the necessary established procedures to ensure the line design conforms to specific organisational technical standards, operational and system planning requirements, and incorporates the principles of safe design.</w:t>
            </w:r>
          </w:p>
          <w:p w:rsidR="00000000" w:rsidRPr="00EB6A7F" w:rsidP="00EB6A7F">
            <w:pPr>
              <w:pStyle w:val="BodyText"/>
            </w:pPr>
            <w:r w:rsidRPr="00EB6A7F">
              <w:t>The applicati</w:t>
            </w:r>
            <w:r w:rsidRPr="00EB6A7F">
              <w:t xml:space="preserve">on of the skills and knowledge described in this unit may require a licence/registration to practice in the workplace subject to regulations for undertaking of electrical work.  </w:t>
            </w:r>
          </w:p>
          <w:p w:rsidR="00000000" w:rsidRPr="00EB6A7F" w:rsidP="00EB6A7F">
            <w:pPr>
              <w:pStyle w:val="BodyText"/>
            </w:pPr>
            <w:r w:rsidRPr="00EB6A7F">
              <w:t>Other conditions may apply under state and territory legislative and regulato</w:t>
            </w:r>
            <w:r w:rsidRPr="00EB6A7F">
              <w:t>ry licensing requirements which must be confirmed prior to commencing this unit.</w:t>
            </w:r>
          </w:p>
        </w:tc>
      </w:tr>
    </w:tbl>
    <w:p w:rsidR="00000000" w:rsidRPr="00EB6A7F" w:rsidP="00EB6A7F">
      <w:pPr>
        <w:pStyle w:val="NoPaddingFontSize1"/>
      </w:pPr>
    </w:p>
    <w:p w:rsidR="00000000" w:rsidRPr="00EB6A7F" w:rsidP="00EB6A7F">
      <w:pPr>
        <w:pStyle w:val="AllowPageBreak"/>
      </w:pPr>
    </w:p>
    <w:p w:rsidR="00000000" w:rsidRPr="00EB6A7F" w:rsidP="00EB6A7F">
      <w:pPr>
        <w:pStyle w:val="Heading1"/>
      </w:pPr>
      <w:bookmarkStart w:id="3" w:name="O_1177638"/>
      <w:bookmarkEnd w:id="3"/>
      <w:r w:rsidRPr="00EB6A7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t>All competencies in the Common Unit Group must have been completed, plus all competencies in one (1) of the identified Pathway Unit Gro</w:t>
            </w:r>
            <w:r w:rsidRPr="00EB6A7F">
              <w:t>up(s).</w:t>
            </w:r>
          </w:p>
          <w:p w:rsidR="00000000" w:rsidRPr="00EB6A7F" w:rsidP="00EB6A7F">
            <w:pPr>
              <w:pStyle w:val="BodyText"/>
            </w:pPr>
            <w:r w:rsidRPr="00EB6A7F">
              <w:t>Common Unit Group</w:t>
            </w:r>
          </w:p>
          <w:p w:rsidR="00000000" w:rsidRPr="00EB6A7F" w:rsidP="00EB6A7F">
            <w:pPr>
              <w:pStyle w:val="BodyText"/>
            </w:pPr>
            <w:r w:rsidRPr="00EB6A7F">
              <w:t>UEENEEE101A Apply Occupational Health and Safety regulations, codes and practices in the workplace</w:t>
            </w:r>
          </w:p>
          <w:p w:rsidR="00000000" w:rsidRPr="00EB6A7F" w:rsidP="00EB6A7F">
            <w:pPr>
              <w:pStyle w:val="BodyText"/>
            </w:pPr>
            <w:r w:rsidRPr="00EB6A7F">
              <w:t>UEENEEE102A Fabricate, assemble and dismantle utilities industry components</w:t>
            </w:r>
          </w:p>
          <w:p w:rsidR="00000000" w:rsidRPr="00EB6A7F" w:rsidP="00EB6A7F">
            <w:pPr>
              <w:pStyle w:val="BodyText"/>
            </w:pPr>
            <w:r w:rsidRPr="00EB6A7F">
              <w:t>UEENEEE104A Solve problems in d.c. circuits</w:t>
            </w:r>
          </w:p>
          <w:p w:rsidR="00000000" w:rsidRPr="00EB6A7F" w:rsidP="00EB6A7F">
            <w:pPr>
              <w:pStyle w:val="BodyText"/>
            </w:pPr>
            <w:r w:rsidRPr="00EB6A7F">
              <w:t xml:space="preserve">UEENEEE107A </w:t>
            </w:r>
            <w:r w:rsidRPr="00EB6A7F">
              <w:t>Use drawings, diagrams, schedules, standards, codes and specifications</w:t>
            </w:r>
          </w:p>
          <w:p w:rsidR="00000000" w:rsidRPr="00EB6A7F" w:rsidP="00EB6A7F">
            <w:pPr>
              <w:pStyle w:val="BodyText"/>
            </w:pPr>
            <w:r w:rsidRPr="00EB6A7F">
              <w:t>UEENEEE125A Provide engineering solutions for problems in complex multiple path circuits</w:t>
            </w:r>
          </w:p>
          <w:p w:rsidR="00000000" w:rsidRPr="00EB6A7F" w:rsidP="00EB6A7F">
            <w:pPr>
              <w:pStyle w:val="BodyText"/>
            </w:pPr>
            <w:r w:rsidRPr="00EB6A7F">
              <w:t>UEENEEE126A Provide solutions to basic engineering computational problems</w:t>
            </w:r>
          </w:p>
          <w:p w:rsidR="00000000" w:rsidRPr="00EB6A7F" w:rsidP="00EB6A7F">
            <w:pPr>
              <w:pStyle w:val="BodyText"/>
            </w:pPr>
            <w:r w:rsidRPr="00EB6A7F">
              <w:t>UEENEEG101A Solve prob</w:t>
            </w:r>
            <w:r w:rsidRPr="00EB6A7F">
              <w:t>lems in electromagnetic devices and related circuits</w:t>
            </w:r>
          </w:p>
          <w:p w:rsidR="00000000" w:rsidRPr="00EB6A7F" w:rsidP="00EB6A7F">
            <w:pPr>
              <w:pStyle w:val="BodyText"/>
            </w:pPr>
            <w:r w:rsidRPr="00EB6A7F">
              <w:t>UEENEEG102A Solve problems in low voltage a.c. circuits</w:t>
            </w:r>
          </w:p>
          <w:p w:rsidR="00000000" w:rsidRPr="00EB6A7F" w:rsidP="00EB6A7F">
            <w:pPr>
              <w:pStyle w:val="BodyText"/>
            </w:pPr>
            <w:r w:rsidRPr="00EB6A7F">
              <w:t>UEENEEG149A Provide engineering solutions to problems in complex polyphase power circuits</w:t>
            </w:r>
          </w:p>
          <w:p w:rsidR="00000000" w:rsidRPr="00EB6A7F" w:rsidP="00EB6A7F">
            <w:pPr>
              <w:pStyle w:val="BodyText"/>
            </w:pPr>
            <w:r w:rsidRPr="00EB6A7F">
              <w:t>UETDREL001 Apply environmental requirements</w:t>
            </w:r>
          </w:p>
          <w:p w:rsidR="00000000" w:rsidRPr="00EB6A7F" w:rsidP="00EB6A7F">
            <w:pPr>
              <w:pStyle w:val="BodyText"/>
            </w:pPr>
            <w:r w:rsidRPr="00EB6A7F">
              <w:t>UETDREL005 Work safely in the vicinity of live electrical apparatus</w:t>
            </w:r>
          </w:p>
          <w:p w:rsidR="00000000" w:rsidRPr="00EB6A7F" w:rsidP="00EB6A7F">
            <w:pPr>
              <w:pStyle w:val="BodyText"/>
            </w:pPr>
            <w:r w:rsidRPr="00EB6A7F">
              <w:t>UETDRIS005 Implement &amp; monitor power system environmental &amp; sustainable energy management policies &amp; procedures</w:t>
            </w:r>
          </w:p>
          <w:p w:rsidR="00000000" w:rsidRPr="00EB6A7F" w:rsidP="00EB6A7F">
            <w:pPr>
              <w:pStyle w:val="BodyText"/>
            </w:pPr>
            <w:r w:rsidRPr="00EB6A7F">
              <w:t>UETDRIS006 Implement and monitor the power system organisational WHS/OHS pol</w:t>
            </w:r>
            <w:r w:rsidRPr="00EB6A7F">
              <w:t>icies, procedures and programs</w:t>
            </w:r>
          </w:p>
          <w:p w:rsidR="00000000" w:rsidRPr="00EB6A7F" w:rsidP="00EB6A7F">
            <w:pPr>
              <w:pStyle w:val="BodyText"/>
            </w:pPr>
            <w:r w:rsidRPr="00EB6A7F">
              <w:t>Pathway Unit Group 1</w:t>
            </w:r>
          </w:p>
          <w:p w:rsidR="00000000" w:rsidRPr="00EB6A7F" w:rsidP="00EB6A7F">
            <w:pPr>
              <w:pStyle w:val="BodyText"/>
            </w:pPr>
            <w:r w:rsidRPr="00EB6A7F">
              <w:t>UETDRDS013 Organise and implement ESI line and easement surveys</w:t>
            </w:r>
          </w:p>
          <w:p w:rsidR="00000000" w:rsidRPr="00EB6A7F" w:rsidP="00EB6A7F">
            <w:pPr>
              <w:pStyle w:val="BodyText"/>
            </w:pPr>
            <w:r w:rsidRPr="00EB6A7F">
              <w:t>UETDRDS014 Prepare and manage detailed construction plans for electrical power system infrastructure</w:t>
            </w:r>
          </w:p>
          <w:p w:rsidR="00000000" w:rsidRPr="00EB6A7F" w:rsidP="00EB6A7F">
            <w:pPr>
              <w:pStyle w:val="BodyText"/>
            </w:pPr>
            <w:r w:rsidRPr="00EB6A7F">
              <w:t>Pathway Unit Group 2</w:t>
            </w:r>
          </w:p>
          <w:p w:rsidR="00000000" w:rsidRPr="00EB6A7F" w:rsidP="00EB6A7F">
            <w:pPr>
              <w:pStyle w:val="BodyText"/>
            </w:pPr>
            <w:r w:rsidRPr="00EB6A7F">
              <w:t>UETDRDS006 Develop</w:t>
            </w:r>
            <w:r w:rsidRPr="00EB6A7F">
              <w:t xml:space="preserve"> high voltage and low voltage distribution protection systems</w:t>
            </w:r>
          </w:p>
        </w:tc>
      </w:tr>
    </w:tbl>
    <w:p w:rsidR="00000000" w:rsidRPr="00EB6A7F" w:rsidP="00EB6A7F">
      <w:pPr>
        <w:pStyle w:val="NoPaddingFontSize1"/>
      </w:pPr>
    </w:p>
    <w:p w:rsidR="00000000" w:rsidRPr="00EB6A7F" w:rsidP="00EB6A7F">
      <w:pPr>
        <w:pStyle w:val="AllowPageBreak"/>
      </w:pPr>
    </w:p>
    <w:p w:rsidR="00000000" w:rsidRPr="00EB6A7F" w:rsidP="00EB6A7F">
      <w:pPr>
        <w:pStyle w:val="Heading1"/>
      </w:pPr>
      <w:bookmarkStart w:id="4" w:name="O_1177639"/>
      <w:bookmarkEnd w:id="4"/>
      <w:r w:rsidRPr="00EB6A7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t>Design</w:t>
            </w:r>
          </w:p>
        </w:tc>
      </w:tr>
    </w:tbl>
    <w:p w:rsidR="00000000" w:rsidRPr="00EB6A7F" w:rsidP="00EB6A7F">
      <w:pPr>
        <w:pStyle w:val="NoPaddingFontSize1"/>
      </w:pPr>
    </w:p>
    <w:p w:rsidR="00000000" w:rsidRPr="00EB6A7F" w:rsidP="00EB6A7F">
      <w:pPr>
        <w:pStyle w:val="AllowPageBreak"/>
      </w:pPr>
    </w:p>
    <w:p w:rsidR="00000000" w:rsidRPr="00EB6A7F" w:rsidP="00EB6A7F">
      <w:pPr>
        <w:pStyle w:val="Heading1"/>
      </w:pPr>
      <w:bookmarkStart w:id="5" w:name="O_1177640"/>
      <w:bookmarkEnd w:id="5"/>
      <w:r w:rsidRPr="00EB6A7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t>Not applicable.</w:t>
            </w:r>
          </w:p>
        </w:tc>
      </w:tr>
    </w:tbl>
    <w:p w:rsidR="00000000" w:rsidRPr="00EB6A7F" w:rsidP="00EB6A7F">
      <w:pPr>
        <w:pStyle w:val="NoPaddingFontSize1"/>
      </w:pPr>
    </w:p>
    <w:p w:rsidR="00000000" w:rsidRPr="00EB6A7F" w:rsidP="00EB6A7F">
      <w:pPr>
        <w:pStyle w:val="AllowPageBreak"/>
      </w:pPr>
    </w:p>
    <w:p w:rsidR="00000000" w:rsidRPr="00EB6A7F" w:rsidP="00EB6A7F">
      <w:pPr>
        <w:pStyle w:val="Heading1"/>
      </w:pPr>
      <w:bookmarkStart w:id="6" w:name="O_1177641"/>
      <w:bookmarkEnd w:id="6"/>
      <w:r w:rsidRPr="00EB6A7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PERFORMANCE CRITERIA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Performance criteria describe the performance needed to demonstrate achievement of the element.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rPr>
                <w:rStyle w:val="SpecialBold"/>
              </w:rPr>
              <w:t>Plan for and coordinate the safe design of overhead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Work health and safety (WHS)/occupa</w:t>
            </w:r>
            <w:r w:rsidRPr="00EB6A7F">
              <w:t>tional health and safety (OHS) practices/procedures and environmental and sustainable energy procedures, which may influence the design of overhead distribution systems, are reviewed and determined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Purpose of the design is established and expected outcomes of the work are confirmed with appropriate personnel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Organisational established procedures, policies and specifications for the design are obtained or established with appropriate personnel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Equipment/tools and personal protective equipment (PPE) are selected and coordinated based on specified requirements and established procedures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Work is prioritised and sequenced for the most efficient and effective outcome following consultat</w:t>
            </w:r>
            <w:r w:rsidRPr="00EB6A7F">
              <w:t>ion with others for completion within acceptable timeframes, to a quality standard and in accordance with established procedures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Risk control measures are identified, prioritised and evaluated against the work schedule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Relevant work permits are secured to coordinate the performance of work according to requirements and/or established procedures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Resources, including personnel, equipment, tools and PPE required for the job are identified, scheduled and coordinated a</w:t>
            </w:r>
            <w:r w:rsidRPr="00EB6A7F">
              <w:t>nd confirmed safe and in technical working order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Liaison and communication issues with others/authorised personnel, authorities, clients and landowners are resolved and activities coordinated to carry out work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Site is prepared according to t</w:t>
            </w:r>
            <w:r w:rsidRPr="00EB6A7F">
              <w:t>he work schedule and to minimise risk and damage to property, commerce and individuals in accordance with established procedures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rPr>
                <w:rStyle w:val="SpecialBold"/>
              </w:rPr>
              <w:t>Carry out and coordinate the safe design of overhead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Circuit/systems modelling is used to evaluate alternative proposals in accordance with established procedures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WHS/OHS and sustainable energy principles, functionality and practices to reduce the incidence of accidents and minimise waste are incorporated into the project in accordance with requirements and/or established procedures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System design decisions ar</w:t>
            </w:r>
            <w:r w:rsidRPr="00EB6A7F">
              <w:t>e made on the basis of safety and effective outcomes according to requirements and/or established procedures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Mathematical models of the distribution system are used to analyse the effectiveness of the finished project in accordance with requirements</w:t>
            </w:r>
            <w:r w:rsidRPr="00EB6A7F">
              <w:t xml:space="preserve"> and established procedures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Technical advice is given regarding potential hazards, safety risks and control measures so that monitoring and preventative action can be undertaken and/or appropriate authorities consulted, where necessary</w:t>
            </w:r>
            <w:r w:rsidRPr="00EB6A7F">
              <w:t>, in accordance with requirements and established procedures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 xml:space="preserve">Essential knowledge and associated skills are applied to analyse specific data and compare it with compliance specifications to ensure completion of the project within an agreed timeframe </w:t>
            </w:r>
            <w:r w:rsidRPr="00EB6A7F">
              <w:t>according to requirements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Solutions to non-routine problems are identified and actioned using acquired essential knowledge and associated skills according to requirements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Quality of work is monitored against personal performance agreement and</w:t>
            </w:r>
            <w:r w:rsidRPr="00EB6A7F">
              <w:t>/or established organisational and professional standards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rPr>
                <w:rStyle w:val="SpecialBold"/>
              </w:rPr>
              <w:t>Complete and coordinate the safe design of overhead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Final inspections of the design are undertaken to ensure they comply with all requirements and include all specifications and documentation needed to complete the design brief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Appropriate personnel are notified of completion and reports and/or compl</w:t>
            </w:r>
            <w:r w:rsidRPr="00EB6A7F">
              <w:t>etion documents are finalised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t>Reports and/or completion documents are submitted to relevant personnel/organisations for approval and, where applicable, statutory or regulatory approval</w:t>
            </w:r>
          </w:p>
        </w:tc>
      </w:tr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7F">
            <w:pPr>
              <w:pStyle w:val="BodyText"/>
              <w:rPr>
                <w:lang w:val="en-NZ"/>
              </w:rPr>
            </w:pPr>
            <w:r w:rsidRPr="00EB6A7F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t>Approved copies of design documents are issued and record</w:t>
            </w:r>
            <w:r w:rsidRPr="00EB6A7F">
              <w:t>s are updated in accordance with established procedures</w:t>
            </w:r>
          </w:p>
        </w:tc>
      </w:tr>
    </w:tbl>
    <w:p w:rsidR="00000000" w:rsidRPr="00EB6A7F" w:rsidP="00EB6A7F">
      <w:pPr>
        <w:pStyle w:val="NoPaddingFontSize1"/>
      </w:pPr>
    </w:p>
    <w:p w:rsidR="00000000" w:rsidRPr="00EB6A7F" w:rsidP="00EB6A7F">
      <w:pPr>
        <w:pStyle w:val="AllowPageBreak"/>
      </w:pPr>
    </w:p>
    <w:p w:rsidR="00000000" w:rsidRPr="00EB6A7F" w:rsidP="00EB6A7F">
      <w:pPr>
        <w:pStyle w:val="Heading1"/>
      </w:pPr>
      <w:bookmarkStart w:id="7" w:name="O_1177642"/>
      <w:bookmarkEnd w:id="7"/>
      <w:r w:rsidRPr="00EB6A7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t>Foundation skills essential to performance are explicit in the performance criteria of this unit of competency.</w:t>
            </w:r>
          </w:p>
        </w:tc>
      </w:tr>
    </w:tbl>
    <w:p w:rsidR="00000000" w:rsidRPr="00EB6A7F" w:rsidP="00EB6A7F">
      <w:pPr>
        <w:pStyle w:val="NoPaddingFontSize1"/>
      </w:pPr>
    </w:p>
    <w:p w:rsidR="00000000" w:rsidRPr="00EB6A7F" w:rsidP="00EB6A7F">
      <w:pPr>
        <w:pStyle w:val="AllowPageBreak"/>
      </w:pPr>
    </w:p>
    <w:p w:rsidR="00000000" w:rsidRPr="00EB6A7F" w:rsidP="00EB6A7F">
      <w:pPr>
        <w:pStyle w:val="Heading1"/>
      </w:pPr>
      <w:bookmarkStart w:id="8" w:name="O_1177643"/>
      <w:bookmarkEnd w:id="8"/>
      <w:r w:rsidRPr="00EB6A7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t>Range is restricted to essential operating conditions and any other variables essential to the work environment.</w:t>
            </w:r>
          </w:p>
          <w:p w:rsidR="00000000" w:rsidRPr="00EB6A7F" w:rsidP="00EB6A7F">
            <w:pPr>
              <w:pStyle w:val="BodyText"/>
            </w:pPr>
            <w:r w:rsidRPr="00EB6A7F">
              <w:t>Non-essential conditions may be found in the UET Transmission, Distribution and Rail Sector Training Package Companion Volume Implementation Gu</w:t>
            </w:r>
            <w:r w:rsidRPr="00EB6A7F">
              <w:t>ide.</w:t>
            </w:r>
          </w:p>
        </w:tc>
      </w:tr>
    </w:tbl>
    <w:p w:rsidR="00000000" w:rsidRPr="00EB6A7F" w:rsidP="00EB6A7F">
      <w:pPr>
        <w:pStyle w:val="NoPaddingFontSize1"/>
      </w:pPr>
    </w:p>
    <w:p w:rsidR="00000000" w:rsidRPr="00EB6A7F" w:rsidP="00EB6A7F">
      <w:pPr>
        <w:pStyle w:val="AllowPageBreak"/>
      </w:pPr>
    </w:p>
    <w:p w:rsidR="00000000" w:rsidRPr="00EB6A7F" w:rsidP="00EB6A7F">
      <w:pPr>
        <w:pStyle w:val="Heading1"/>
      </w:pPr>
      <w:bookmarkStart w:id="9" w:name="O_1177644"/>
      <w:bookmarkEnd w:id="9"/>
      <w:r w:rsidRPr="00EB6A7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A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7F" w:rsidP="00EB6A7F">
            <w:pPr>
              <w:pStyle w:val="BodyText"/>
            </w:pPr>
            <w:r w:rsidRPr="00EB6A7F">
              <w:t>This unit replaces and is equivalent to UETTDRDS35 Design overhead distribution power systems.</w:t>
            </w:r>
          </w:p>
        </w:tc>
      </w:tr>
    </w:tbl>
    <w:p w:rsidR="00000000" w:rsidRPr="00EB6A7F" w:rsidP="00EB6A7F">
      <w:pPr>
        <w:pStyle w:val="NoPaddingFontSize1"/>
      </w:pPr>
    </w:p>
    <w:p w:rsidR="00000000" w:rsidRPr="00EB6A7F" w:rsidP="00EB6A7F">
      <w:pPr>
        <w:pStyle w:val="AllowPageBreak"/>
      </w:pPr>
    </w:p>
    <w:p w:rsidR="00000000" w:rsidRPr="00EB6A7F" w:rsidP="00EB6A7F">
      <w:pPr>
        <w:pStyle w:val="Heading1"/>
      </w:pPr>
      <w:bookmarkStart w:id="10" w:name="O_1177651"/>
      <w:bookmarkEnd w:id="10"/>
      <w:r w:rsidRPr="00EB6A7F">
        <w:t>Links</w:t>
      </w:r>
    </w:p>
    <w:p w:rsidR="00000000" w:rsidRPr="00EB6A7F" w:rsidP="005E5481">
      <w:pPr>
        <w:pStyle w:val="BodyText"/>
      </w:pPr>
      <w:r w:rsidRPr="00EB6A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B406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B6A7F" w:rsidP="00EB6A7F"/>
    <w:sectPr w:rsidSect="00EB6A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7F" w:rsidRPr="005E5481" w:rsidP="005E5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81" w:rsidP="00EB6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5481" w:rsidP="00EB6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5481" w:rsidP="00EB6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A7F" w:rsidRPr="005E5481" w:rsidP="005E5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81" w:rsidRPr="002D2AF8" w:rsidP="00EB6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UETDRDS002 Design overhead distribution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E5481" w:rsidP="00EB6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A7F"/>
  </w:style>
  <w:style w:type="character" w:customStyle="1" w:styleId="Heading1Char">
    <w:name w:val="Heading 1 Char"/>
    <w:basedOn w:val="DefaultParagraphFont"/>
    <w:link w:val="Heading1"/>
    <w:rsid w:val="00EB6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A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B6A7F"/>
    <w:rPr>
      <w:b/>
      <w:spacing w:val="0"/>
    </w:rPr>
  </w:style>
  <w:style w:type="paragraph" w:customStyle="1" w:styleId="SuperHeading">
    <w:name w:val="SuperHeading"/>
    <w:basedOn w:val="Normal"/>
    <w:rsid w:val="00EB6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6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A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A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6A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6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A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A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6A7F"/>
    <w:rPr>
      <w:i/>
    </w:rPr>
  </w:style>
  <w:style w:type="paragraph" w:styleId="Caption">
    <w:name w:val="caption"/>
    <w:basedOn w:val="BodyText"/>
    <w:next w:val="Normal"/>
    <w:qFormat/>
    <w:rsid w:val="00EB6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A7F"/>
  </w:style>
  <w:style w:type="paragraph" w:styleId="TableofFigures">
    <w:name w:val="table of figures"/>
    <w:basedOn w:val="Normal"/>
    <w:next w:val="Normal"/>
    <w:semiHidden/>
    <w:rsid w:val="00EB6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A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6A7F"/>
    <w:rPr>
      <w:rFonts w:ascii="Wingdings" w:hAnsi="Wingdings"/>
    </w:rPr>
  </w:style>
  <w:style w:type="paragraph" w:customStyle="1" w:styleId="TableHeading">
    <w:name w:val="Table Heading"/>
    <w:basedOn w:val="HeadingBase"/>
    <w:rsid w:val="00EB6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A7F"/>
    <w:rPr>
      <w:color w:val="0033CC"/>
      <w:u w:val="none"/>
    </w:rPr>
  </w:style>
  <w:style w:type="paragraph" w:customStyle="1" w:styleId="BodyTextRight">
    <w:name w:val="Body Text Right"/>
    <w:basedOn w:val="BodyText"/>
    <w:rsid w:val="00EB6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A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A7F"/>
    <w:rPr>
      <w:sz w:val="32"/>
    </w:rPr>
  </w:style>
  <w:style w:type="paragraph" w:customStyle="1" w:styleId="HeadingProcedure">
    <w:name w:val="Heading Procedure"/>
    <w:basedOn w:val="HeadingBase"/>
    <w:next w:val="Normal"/>
    <w:rsid w:val="00EB6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A7F"/>
    <w:pPr>
      <w:spacing w:before="60" w:after="60"/>
    </w:pPr>
  </w:style>
  <w:style w:type="paragraph" w:styleId="ListContinue">
    <w:name w:val="List Continue"/>
    <w:basedOn w:val="List"/>
    <w:rsid w:val="00EB6A7F"/>
    <w:pPr>
      <w:ind w:firstLine="0"/>
    </w:pPr>
  </w:style>
  <w:style w:type="paragraph" w:customStyle="1" w:styleId="ListNote">
    <w:name w:val="List Note"/>
    <w:basedOn w:val="List"/>
    <w:rsid w:val="00EB6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A7F"/>
    <w:rPr>
      <w:rFonts w:ascii="Courier New" w:hAnsi="Courier New"/>
    </w:rPr>
  </w:style>
  <w:style w:type="paragraph" w:customStyle="1" w:styleId="NoteBullet">
    <w:name w:val="Note Bullet"/>
    <w:basedOn w:val="Note"/>
    <w:rsid w:val="00EB6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A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6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A7F"/>
    <w:rPr>
      <w:b/>
      <w:smallCaps/>
    </w:rPr>
  </w:style>
  <w:style w:type="paragraph" w:customStyle="1" w:styleId="TableListNumber">
    <w:name w:val="Table List Number"/>
    <w:basedOn w:val="ListNumber"/>
    <w:rsid w:val="00EB6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A7F"/>
    <w:pPr>
      <w:numPr>
        <w:numId w:val="7"/>
      </w:numPr>
    </w:pPr>
  </w:style>
  <w:style w:type="paragraph" w:customStyle="1" w:styleId="ListAlpha2">
    <w:name w:val="List Alpha 2"/>
    <w:basedOn w:val="List2"/>
    <w:rsid w:val="00EB6A7F"/>
    <w:pPr>
      <w:numPr>
        <w:numId w:val="6"/>
      </w:numPr>
    </w:pPr>
  </w:style>
  <w:style w:type="paragraph" w:styleId="List2">
    <w:name w:val="List 2"/>
    <w:basedOn w:val="BodyText"/>
    <w:rsid w:val="00EB6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A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A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6A7F"/>
    <w:pPr>
      <w:numPr>
        <w:numId w:val="2"/>
      </w:numPr>
    </w:pPr>
  </w:style>
  <w:style w:type="paragraph" w:styleId="ListContinue2">
    <w:name w:val="List Continue 2"/>
    <w:basedOn w:val="List2"/>
    <w:rsid w:val="00EB6A7F"/>
    <w:pPr>
      <w:ind w:firstLine="0"/>
    </w:pPr>
  </w:style>
  <w:style w:type="paragraph" w:styleId="ListContinue3">
    <w:name w:val="List Continue 3"/>
    <w:basedOn w:val="List3"/>
    <w:rsid w:val="00EB6A7F"/>
    <w:pPr>
      <w:ind w:left="1021" w:firstLine="0"/>
    </w:pPr>
  </w:style>
  <w:style w:type="paragraph" w:styleId="ListContinue4">
    <w:name w:val="List Continue 4"/>
    <w:basedOn w:val="List4"/>
    <w:rsid w:val="00EB6A7F"/>
    <w:pPr>
      <w:ind w:firstLine="0"/>
    </w:pPr>
  </w:style>
  <w:style w:type="paragraph" w:styleId="ListContinue5">
    <w:name w:val="List Continue 5"/>
    <w:basedOn w:val="List5"/>
    <w:rsid w:val="00EB6A7F"/>
    <w:pPr>
      <w:ind w:firstLine="0"/>
    </w:pPr>
  </w:style>
  <w:style w:type="paragraph" w:styleId="ListNumber3">
    <w:name w:val="List Number 3"/>
    <w:basedOn w:val="List3"/>
    <w:rsid w:val="00EB6A7F"/>
    <w:pPr>
      <w:numPr>
        <w:numId w:val="3"/>
      </w:numPr>
    </w:pPr>
  </w:style>
  <w:style w:type="paragraph" w:styleId="ListNumber4">
    <w:name w:val="List Number 4"/>
    <w:basedOn w:val="List4"/>
    <w:rsid w:val="00EB6A7F"/>
    <w:pPr>
      <w:numPr>
        <w:numId w:val="4"/>
      </w:numPr>
    </w:pPr>
  </w:style>
  <w:style w:type="paragraph" w:styleId="ListNumber5">
    <w:name w:val="List Number 5"/>
    <w:basedOn w:val="List5"/>
    <w:rsid w:val="00EB6A7F"/>
    <w:pPr>
      <w:numPr>
        <w:numId w:val="5"/>
      </w:numPr>
    </w:pPr>
  </w:style>
  <w:style w:type="paragraph" w:styleId="BlockText">
    <w:name w:val="Block Text"/>
    <w:basedOn w:val="Normal"/>
    <w:rsid w:val="00EB6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A7F"/>
    <w:rPr>
      <w:sz w:val="16"/>
      <w:vertAlign w:val="superscript"/>
    </w:rPr>
  </w:style>
  <w:style w:type="character" w:customStyle="1" w:styleId="Symbols">
    <w:name w:val="Symbols"/>
    <w:basedOn w:val="DefaultParagraphFont"/>
    <w:rsid w:val="00EB6A7F"/>
    <w:rPr>
      <w:rFonts w:ascii="Symbol" w:hAnsi="Symbol"/>
    </w:rPr>
  </w:style>
  <w:style w:type="character" w:customStyle="1" w:styleId="MenuOptions">
    <w:name w:val="Menu Options"/>
    <w:basedOn w:val="DefaultParagraphFont"/>
    <w:rsid w:val="00EB6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A7F"/>
    <w:rPr>
      <w:b/>
    </w:rPr>
  </w:style>
  <w:style w:type="character" w:customStyle="1" w:styleId="Underlined">
    <w:name w:val="Underlined"/>
    <w:basedOn w:val="DefaultParagraphFont"/>
    <w:rsid w:val="00EB6A7F"/>
    <w:rPr>
      <w:u w:val="single"/>
    </w:rPr>
  </w:style>
  <w:style w:type="paragraph" w:customStyle="1" w:styleId="TableBodyTextRight">
    <w:name w:val="Table Body Text Right"/>
    <w:basedOn w:val="TableBodyText"/>
    <w:rsid w:val="00EB6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A7F"/>
    <w:rPr>
      <w:sz w:val="18"/>
    </w:rPr>
  </w:style>
  <w:style w:type="paragraph" w:customStyle="1" w:styleId="BodySmallRight">
    <w:name w:val="Body Small Right"/>
    <w:basedOn w:val="BodyTextRight"/>
    <w:rsid w:val="00EB6A7F"/>
    <w:rPr>
      <w:sz w:val="18"/>
      <w:szCs w:val="18"/>
    </w:rPr>
  </w:style>
  <w:style w:type="paragraph" w:customStyle="1" w:styleId="MarginEdition">
    <w:name w:val="Margin Edition"/>
    <w:basedOn w:val="MarginNote"/>
    <w:rsid w:val="00EB6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A7F"/>
    <w:rPr>
      <w:sz w:val="2"/>
      <w:szCs w:val="2"/>
    </w:rPr>
  </w:style>
  <w:style w:type="character" w:customStyle="1" w:styleId="Small">
    <w:name w:val="Small"/>
    <w:basedOn w:val="DefaultParagraphFont"/>
    <w:rsid w:val="00EB6A7F"/>
    <w:rPr>
      <w:sz w:val="16"/>
    </w:rPr>
  </w:style>
  <w:style w:type="paragraph" w:customStyle="1" w:styleId="WideTable">
    <w:name w:val="Wide Table"/>
    <w:basedOn w:val="Normal"/>
    <w:rsid w:val="00EB6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A7F"/>
  </w:style>
  <w:style w:type="paragraph" w:styleId="Quote">
    <w:name w:val="Quote"/>
    <w:basedOn w:val="Heading1"/>
    <w:link w:val="QuoteChar"/>
    <w:qFormat/>
    <w:rsid w:val="00EB6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A7F"/>
    <w:pPr>
      <w:pageBreakBefore/>
    </w:pPr>
  </w:style>
  <w:style w:type="paragraph" w:customStyle="1" w:styleId="Border">
    <w:name w:val="Border"/>
    <w:basedOn w:val="Normal"/>
    <w:qFormat/>
    <w:rsid w:val="00EB6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A7F"/>
    <w:rPr>
      <w:u w:val="single"/>
    </w:rPr>
  </w:style>
  <w:style w:type="character" w:customStyle="1" w:styleId="BoldandItalics">
    <w:name w:val="Bold and Italics"/>
    <w:qFormat/>
    <w:rsid w:val="00EB6A7F"/>
    <w:rPr>
      <w:b/>
      <w:i/>
      <w:u w:val="none"/>
    </w:rPr>
  </w:style>
  <w:style w:type="paragraph" w:styleId="BalloonText">
    <w:name w:val="Balloon Text"/>
    <w:basedOn w:val="Normal"/>
    <w:link w:val="BalloonTextChar"/>
    <w:rsid w:val="00EB6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A7F"/>
    <w:pPr>
      <w:spacing w:before="0" w:after="0"/>
    </w:pPr>
  </w:style>
  <w:style w:type="paragraph" w:customStyle="1" w:styleId="BodyTextBold">
    <w:name w:val="Body Text Bold"/>
    <w:basedOn w:val="BodyText"/>
    <w:qFormat/>
    <w:rsid w:val="00EB6A7F"/>
    <w:rPr>
      <w:b/>
    </w:rPr>
  </w:style>
  <w:style w:type="character" w:styleId="Hyperlink">
    <w:name w:val="Hyperlink"/>
    <w:basedOn w:val="DefaultParagraphFont"/>
    <w:uiPriority w:val="99"/>
    <w:unhideWhenUsed/>
    <w:rsid w:val="005E5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1016</Words>
  <Characters>6665</Characters>
  <Application>Microsoft Office Word</Application>
  <DocSecurity>0</DocSecurity>
  <Lines>246</Lines>
  <Paragraphs>116</Paragraphs>
  <ScaleCrop>false</ScaleCrop>
  <Company>Author-it Software Corporation Ltd.</Company>
  <LinksUpToDate>false</LinksUpToDate>
  <CharactersWithSpaces>7565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UETDRDS002 Design overhead distribution power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2022-06-03T04:28:00Z</dcterms:created>
  <dcterms:modified xsi:type="dcterms:W3CDTF">2022-06-03T04:28:00Z</dcterms:modified>
</cp:coreProperties>
</file>