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19E" w:rsidP="00681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UETDRAI004 Treat poles</w:t>
      </w:r>
      <w:r>
        <w:fldChar w:fldCharType="end"/>
      </w:r>
    </w:p>
    <w:p w:rsidR="0068119E" w:rsidP="0068119E">
      <w:pPr>
        <w:pStyle w:val="Version"/>
        <w:sectPr w:rsidSect="00C01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085" w:rsidP="00C01085">
      <w:pPr>
        <w:pStyle w:val="SuperHeading"/>
      </w:pPr>
      <w:r w:rsidRPr="00C01085">
        <w:t>UETDRAI004 Treat poles</w:t>
      </w:r>
    </w:p>
    <w:p w:rsidR="00000000" w:rsidRPr="00C01085" w:rsidP="00C01085">
      <w:pPr>
        <w:pStyle w:val="Heading1"/>
      </w:pPr>
      <w:bookmarkStart w:id="1" w:name="O_1177370"/>
      <w:bookmarkEnd w:id="1"/>
      <w:r w:rsidRPr="00C010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2" w:name="O_1177371"/>
      <w:bookmarkEnd w:id="2"/>
      <w:r w:rsidRPr="00C010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This unit involves the skills and knowledge required to treat poles in the</w:t>
            </w:r>
            <w:r w:rsidRPr="00C01085">
              <w:t xml:space="preserve"> electricity supply industry (ESI).</w:t>
            </w:r>
          </w:p>
          <w:p w:rsidR="00000000" w:rsidRPr="00C01085" w:rsidP="00C01085">
            <w:pPr>
              <w:pStyle w:val="BodyText"/>
            </w:pPr>
            <w:r w:rsidRPr="00C01085">
              <w:t>It includes the types, handling and usage, transporting, storing and disposing of pole treatment applications.</w:t>
            </w:r>
          </w:p>
          <w:p w:rsidR="00000000" w:rsidRPr="00C01085" w:rsidP="00C01085">
            <w:pPr>
              <w:pStyle w:val="BodyText"/>
            </w:pPr>
            <w:r w:rsidRPr="00C01085">
              <w:t>It also includes environmental requirements and the completion of work documentation.</w:t>
            </w:r>
          </w:p>
          <w:p w:rsidR="00000000" w:rsidRPr="00C01085" w:rsidP="00C01085">
            <w:pPr>
              <w:pStyle w:val="BodyText"/>
            </w:pPr>
            <w:r w:rsidRPr="00C01085">
              <w:t xml:space="preserve">The application of the </w:t>
            </w:r>
            <w:r w:rsidRPr="00C01085">
              <w:t>skills and knowledge described in this unit may require a licence/registration to practice in the workplace.</w:t>
            </w:r>
          </w:p>
          <w:p w:rsidR="00000000" w:rsidRPr="00C01085" w:rsidP="00C01085">
            <w:pPr>
              <w:pStyle w:val="BodyText"/>
            </w:pPr>
            <w:r w:rsidRPr="00C01085">
              <w:t>Other conditions may also apply under state and territory legislative and regulatory licensing requirements which must be confirmed prior to commen</w:t>
            </w:r>
            <w:r w:rsidRPr="00C01085">
              <w:t>cing this unit.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3" w:name="O_1177372"/>
      <w:bookmarkEnd w:id="3"/>
      <w:r w:rsidRPr="00C010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UEECD0007 Apply work health and safety regulations, codes and practices in the workplace</w:t>
            </w:r>
          </w:p>
          <w:p w:rsidR="00000000" w:rsidRPr="00C01085" w:rsidP="00C01085">
            <w:pPr>
              <w:pStyle w:val="BodyText"/>
            </w:pPr>
            <w:r w:rsidRPr="00C01085">
              <w:t>UETDREL002 Comply with environmental requirements</w:t>
            </w:r>
          </w:p>
          <w:p w:rsidR="00000000" w:rsidRPr="00C01085" w:rsidP="00C01085">
            <w:pPr>
              <w:pStyle w:val="BodyText"/>
            </w:pPr>
            <w:r w:rsidRPr="00C01085">
              <w:t>UETDREL006 Work safely in the vicinity of live electrical app</w:t>
            </w:r>
            <w:r w:rsidRPr="00C01085">
              <w:t>aratus as a non-electrical worker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4" w:name="O_1177373"/>
      <w:bookmarkEnd w:id="4"/>
      <w:r w:rsidRPr="00C010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Asset Inspection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5" w:name="O_1177374"/>
      <w:bookmarkEnd w:id="5"/>
      <w:r w:rsidRPr="00C010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Not applicable.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6" w:name="O_1177375"/>
      <w:bookmarkEnd w:id="6"/>
      <w:r w:rsidRPr="00C010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PERFORMANCE CRITERIA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Performance criteria describe the performance needed to demonstrate achievement of the element.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>Prepare to treat poles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Legislation, regulations, standards, codes of practice and organisational workplace r</w:t>
            </w:r>
            <w:r w:rsidRPr="00C01085">
              <w:t>equirements for work to be performed are referred to and confirmed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 xml:space="preserve">Work plan is obtained and confirmed in accordance with workplace requirements  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Materials required for work are determined and obtained in ac</w:t>
            </w:r>
            <w:r w:rsidRPr="00C01085">
              <w:t>cordance with work plan and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Tools, equipment and personal protective equipment (PPE) required for work are determined, obtained and confirmed in working order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 xml:space="preserve">Hazards are identified, risks assessed and control measures </w:t>
            </w:r>
            <w:r w:rsidRPr="00C01085">
              <w:t xml:space="preserve">identified and applied 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 xml:space="preserve">Work is prioritised and sequenced for completion in accordance with work plan and workplace requirements 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Worksite is prepared in accordance with the work plan and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Liaison and communication with stakeholders is carried out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Traffic management plan is confirmed as being in place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>Apply treatment to poles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Legislation, regula</w:t>
            </w:r>
            <w:r w:rsidRPr="00C01085">
              <w:t>tions, standards, codes of practice and organisational workplace requirements for the work to be performed are applied and monitored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Lifting and the use of tools, equipment and PPE are carried out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Hazard control measures are monitored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Treatment of poles is performed in accordance with work plan and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Incidents or unplanned events are responded to in accordance with workplac</w:t>
            </w:r>
            <w:r w:rsidRPr="00C01085">
              <w:t>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Completed work is checked for compliance against the work plan and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Incidents or unplanned events are reported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Worksite is rehabilitated, cleaned and made safe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 xml:space="preserve">Tools and equipment are cleaned, checked and returned to storage in accordance with workplace requirements 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t>Surplus materials are returned to storage o</w:t>
            </w:r>
            <w:r w:rsidRPr="00C01085">
              <w:t>r disposed of in accordance with workplace requirements</w:t>
            </w:r>
          </w:p>
        </w:tc>
      </w:tr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085">
            <w:pPr>
              <w:pStyle w:val="BodyText"/>
              <w:rPr>
                <w:lang w:val="en-NZ"/>
              </w:rPr>
            </w:pPr>
            <w:r w:rsidRPr="00C0108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7" w:name="O_1177376"/>
      <w:bookmarkEnd w:id="7"/>
      <w:r w:rsidRPr="00C010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Foundation skills essential to performance are explicit in the performance criteria of this unit of competency.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8" w:name="O_1177377"/>
      <w:bookmarkEnd w:id="8"/>
      <w:r w:rsidRPr="00C010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Range is restricted to essential operating conditions and any other variables essential to the work env</w:t>
            </w:r>
            <w:r w:rsidRPr="00C01085">
              <w:t>ironment.</w:t>
            </w:r>
          </w:p>
          <w:p w:rsidR="00000000" w:rsidRPr="00C01085" w:rsidP="00C01085">
            <w:pPr>
              <w:pStyle w:val="BodyText"/>
            </w:pPr>
            <w:r w:rsidRPr="00C0108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9" w:name="O_1177378"/>
      <w:bookmarkEnd w:id="9"/>
      <w:r w:rsidRPr="00C010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085" w:rsidP="00C01085">
            <w:pPr>
              <w:pStyle w:val="BodyText"/>
            </w:pPr>
            <w:r w:rsidRPr="00C01085">
              <w:t>This is a new unit. No Equivalent Unit.</w:t>
            </w:r>
          </w:p>
        </w:tc>
      </w:tr>
    </w:tbl>
    <w:p w:rsidR="00000000" w:rsidRPr="00C01085" w:rsidP="00C01085">
      <w:pPr>
        <w:pStyle w:val="NoPaddingFontSize1"/>
      </w:pPr>
    </w:p>
    <w:p w:rsidR="00000000" w:rsidRPr="00C01085" w:rsidP="00C01085">
      <w:pPr>
        <w:pStyle w:val="AllowPageBreak"/>
      </w:pPr>
    </w:p>
    <w:p w:rsidR="00000000" w:rsidRPr="00C01085" w:rsidP="00C01085">
      <w:pPr>
        <w:pStyle w:val="Heading1"/>
      </w:pPr>
      <w:bookmarkStart w:id="10" w:name="O_1177385"/>
      <w:bookmarkEnd w:id="10"/>
      <w:r w:rsidRPr="00C01085">
        <w:t>Links</w:t>
      </w:r>
    </w:p>
    <w:p w:rsidR="00000000" w:rsidRPr="00C01085" w:rsidP="0068119E">
      <w:pPr>
        <w:pStyle w:val="BodyText"/>
      </w:pPr>
      <w:r w:rsidRPr="00C01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F256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01085" w:rsidP="00C01085"/>
    <w:sectPr w:rsidSect="00C01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85" w:rsidRPr="0068119E" w:rsidP="00681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9E" w:rsidP="00C01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19E" w:rsidP="00C01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119E" w:rsidP="00C01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085" w:rsidRPr="0068119E" w:rsidP="00681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9E" w:rsidRPr="002D2AF8" w:rsidP="00C01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UETDRAI004 Treat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8119E" w:rsidP="00C01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085"/>
  </w:style>
  <w:style w:type="character" w:customStyle="1" w:styleId="Heading1Char">
    <w:name w:val="Heading 1 Char"/>
    <w:basedOn w:val="DefaultParagraphFont"/>
    <w:link w:val="Heading1"/>
    <w:rsid w:val="00C01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0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1085"/>
    <w:rPr>
      <w:b/>
      <w:spacing w:val="0"/>
    </w:rPr>
  </w:style>
  <w:style w:type="paragraph" w:customStyle="1" w:styleId="SuperHeading">
    <w:name w:val="SuperHeading"/>
    <w:basedOn w:val="Normal"/>
    <w:rsid w:val="00C01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1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0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10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1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0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085"/>
    <w:rPr>
      <w:i/>
    </w:rPr>
  </w:style>
  <w:style w:type="paragraph" w:styleId="Caption">
    <w:name w:val="caption"/>
    <w:basedOn w:val="BodyText"/>
    <w:next w:val="Normal"/>
    <w:qFormat/>
    <w:rsid w:val="00C01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085"/>
  </w:style>
  <w:style w:type="paragraph" w:styleId="TableofFigures">
    <w:name w:val="table of figures"/>
    <w:basedOn w:val="Normal"/>
    <w:next w:val="Normal"/>
    <w:semiHidden/>
    <w:rsid w:val="00C01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0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1085"/>
    <w:rPr>
      <w:rFonts w:ascii="Wingdings" w:hAnsi="Wingdings"/>
    </w:rPr>
  </w:style>
  <w:style w:type="paragraph" w:customStyle="1" w:styleId="TableHeading">
    <w:name w:val="Table Heading"/>
    <w:basedOn w:val="HeadingBase"/>
    <w:rsid w:val="00C01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085"/>
    <w:rPr>
      <w:color w:val="0033CC"/>
      <w:u w:val="none"/>
    </w:rPr>
  </w:style>
  <w:style w:type="paragraph" w:customStyle="1" w:styleId="BodyTextRight">
    <w:name w:val="Body Text Right"/>
    <w:basedOn w:val="BodyText"/>
    <w:rsid w:val="00C01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0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085"/>
    <w:rPr>
      <w:sz w:val="32"/>
    </w:rPr>
  </w:style>
  <w:style w:type="paragraph" w:customStyle="1" w:styleId="HeadingProcedure">
    <w:name w:val="Heading Procedure"/>
    <w:basedOn w:val="HeadingBase"/>
    <w:next w:val="Normal"/>
    <w:rsid w:val="00C01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085"/>
    <w:pPr>
      <w:spacing w:before="60" w:after="60"/>
    </w:pPr>
  </w:style>
  <w:style w:type="paragraph" w:styleId="ListContinue">
    <w:name w:val="List Continue"/>
    <w:basedOn w:val="List"/>
    <w:rsid w:val="00C01085"/>
    <w:pPr>
      <w:ind w:firstLine="0"/>
    </w:pPr>
  </w:style>
  <w:style w:type="paragraph" w:customStyle="1" w:styleId="ListNote">
    <w:name w:val="List Note"/>
    <w:basedOn w:val="List"/>
    <w:rsid w:val="00C01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085"/>
    <w:rPr>
      <w:rFonts w:ascii="Courier New" w:hAnsi="Courier New"/>
    </w:rPr>
  </w:style>
  <w:style w:type="paragraph" w:customStyle="1" w:styleId="NoteBullet">
    <w:name w:val="Note Bullet"/>
    <w:basedOn w:val="Note"/>
    <w:rsid w:val="00C01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0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1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085"/>
    <w:rPr>
      <w:b/>
      <w:smallCaps/>
    </w:rPr>
  </w:style>
  <w:style w:type="paragraph" w:customStyle="1" w:styleId="TableListNumber">
    <w:name w:val="Table List Number"/>
    <w:basedOn w:val="ListNumber"/>
    <w:rsid w:val="00C01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085"/>
    <w:pPr>
      <w:numPr>
        <w:numId w:val="7"/>
      </w:numPr>
    </w:pPr>
  </w:style>
  <w:style w:type="paragraph" w:customStyle="1" w:styleId="ListAlpha2">
    <w:name w:val="List Alpha 2"/>
    <w:basedOn w:val="List2"/>
    <w:rsid w:val="00C01085"/>
    <w:pPr>
      <w:numPr>
        <w:numId w:val="6"/>
      </w:numPr>
    </w:pPr>
  </w:style>
  <w:style w:type="paragraph" w:styleId="List2">
    <w:name w:val="List 2"/>
    <w:basedOn w:val="BodyText"/>
    <w:rsid w:val="00C01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0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0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1085"/>
    <w:pPr>
      <w:numPr>
        <w:numId w:val="2"/>
      </w:numPr>
    </w:pPr>
  </w:style>
  <w:style w:type="paragraph" w:styleId="ListContinue2">
    <w:name w:val="List Continue 2"/>
    <w:basedOn w:val="List2"/>
    <w:rsid w:val="00C01085"/>
    <w:pPr>
      <w:ind w:firstLine="0"/>
    </w:pPr>
  </w:style>
  <w:style w:type="paragraph" w:styleId="ListContinue3">
    <w:name w:val="List Continue 3"/>
    <w:basedOn w:val="List3"/>
    <w:rsid w:val="00C01085"/>
    <w:pPr>
      <w:ind w:left="1021" w:firstLine="0"/>
    </w:pPr>
  </w:style>
  <w:style w:type="paragraph" w:styleId="ListContinue4">
    <w:name w:val="List Continue 4"/>
    <w:basedOn w:val="List4"/>
    <w:rsid w:val="00C01085"/>
    <w:pPr>
      <w:ind w:firstLine="0"/>
    </w:pPr>
  </w:style>
  <w:style w:type="paragraph" w:styleId="ListContinue5">
    <w:name w:val="List Continue 5"/>
    <w:basedOn w:val="List5"/>
    <w:rsid w:val="00C01085"/>
    <w:pPr>
      <w:ind w:firstLine="0"/>
    </w:pPr>
  </w:style>
  <w:style w:type="paragraph" w:styleId="ListNumber3">
    <w:name w:val="List Number 3"/>
    <w:basedOn w:val="List3"/>
    <w:rsid w:val="00C01085"/>
    <w:pPr>
      <w:numPr>
        <w:numId w:val="3"/>
      </w:numPr>
    </w:pPr>
  </w:style>
  <w:style w:type="paragraph" w:styleId="ListNumber4">
    <w:name w:val="List Number 4"/>
    <w:basedOn w:val="List4"/>
    <w:rsid w:val="00C01085"/>
    <w:pPr>
      <w:numPr>
        <w:numId w:val="4"/>
      </w:numPr>
    </w:pPr>
  </w:style>
  <w:style w:type="paragraph" w:styleId="ListNumber5">
    <w:name w:val="List Number 5"/>
    <w:basedOn w:val="List5"/>
    <w:rsid w:val="00C01085"/>
    <w:pPr>
      <w:numPr>
        <w:numId w:val="5"/>
      </w:numPr>
    </w:pPr>
  </w:style>
  <w:style w:type="paragraph" w:styleId="BlockText">
    <w:name w:val="Block Text"/>
    <w:basedOn w:val="Normal"/>
    <w:rsid w:val="00C01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085"/>
    <w:rPr>
      <w:sz w:val="16"/>
      <w:vertAlign w:val="superscript"/>
    </w:rPr>
  </w:style>
  <w:style w:type="character" w:customStyle="1" w:styleId="Symbols">
    <w:name w:val="Symbols"/>
    <w:basedOn w:val="DefaultParagraphFont"/>
    <w:rsid w:val="00C01085"/>
    <w:rPr>
      <w:rFonts w:ascii="Symbol" w:hAnsi="Symbol"/>
    </w:rPr>
  </w:style>
  <w:style w:type="character" w:customStyle="1" w:styleId="MenuOptions">
    <w:name w:val="Menu Options"/>
    <w:basedOn w:val="DefaultParagraphFont"/>
    <w:rsid w:val="00C01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085"/>
    <w:rPr>
      <w:b/>
    </w:rPr>
  </w:style>
  <w:style w:type="character" w:customStyle="1" w:styleId="Underlined">
    <w:name w:val="Underlined"/>
    <w:basedOn w:val="DefaultParagraphFont"/>
    <w:rsid w:val="00C01085"/>
    <w:rPr>
      <w:u w:val="single"/>
    </w:rPr>
  </w:style>
  <w:style w:type="paragraph" w:customStyle="1" w:styleId="TableBodyTextRight">
    <w:name w:val="Table Body Text Right"/>
    <w:basedOn w:val="TableBodyText"/>
    <w:rsid w:val="00C01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085"/>
    <w:rPr>
      <w:sz w:val="18"/>
    </w:rPr>
  </w:style>
  <w:style w:type="paragraph" w:customStyle="1" w:styleId="BodySmallRight">
    <w:name w:val="Body Small Right"/>
    <w:basedOn w:val="BodyTextRight"/>
    <w:rsid w:val="00C01085"/>
    <w:rPr>
      <w:sz w:val="18"/>
      <w:szCs w:val="18"/>
    </w:rPr>
  </w:style>
  <w:style w:type="paragraph" w:customStyle="1" w:styleId="MarginEdition">
    <w:name w:val="Margin Edition"/>
    <w:basedOn w:val="MarginNote"/>
    <w:rsid w:val="00C01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085"/>
    <w:rPr>
      <w:sz w:val="2"/>
      <w:szCs w:val="2"/>
    </w:rPr>
  </w:style>
  <w:style w:type="character" w:customStyle="1" w:styleId="Small">
    <w:name w:val="Small"/>
    <w:basedOn w:val="DefaultParagraphFont"/>
    <w:rsid w:val="00C01085"/>
    <w:rPr>
      <w:sz w:val="16"/>
    </w:rPr>
  </w:style>
  <w:style w:type="paragraph" w:customStyle="1" w:styleId="WideTable">
    <w:name w:val="Wide Table"/>
    <w:basedOn w:val="Normal"/>
    <w:rsid w:val="00C01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085"/>
  </w:style>
  <w:style w:type="paragraph" w:styleId="Quote">
    <w:name w:val="Quote"/>
    <w:basedOn w:val="Heading1"/>
    <w:link w:val="QuoteChar"/>
    <w:qFormat/>
    <w:rsid w:val="00C01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085"/>
    <w:pPr>
      <w:pageBreakBefore/>
    </w:pPr>
  </w:style>
  <w:style w:type="paragraph" w:customStyle="1" w:styleId="Border">
    <w:name w:val="Border"/>
    <w:basedOn w:val="Normal"/>
    <w:qFormat/>
    <w:rsid w:val="00C01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085"/>
    <w:rPr>
      <w:u w:val="single"/>
    </w:rPr>
  </w:style>
  <w:style w:type="character" w:customStyle="1" w:styleId="BoldandItalics">
    <w:name w:val="Bold and Italics"/>
    <w:qFormat/>
    <w:rsid w:val="00C01085"/>
    <w:rPr>
      <w:b/>
      <w:i/>
      <w:u w:val="none"/>
    </w:rPr>
  </w:style>
  <w:style w:type="paragraph" w:styleId="BalloonText">
    <w:name w:val="Balloon Text"/>
    <w:basedOn w:val="Normal"/>
    <w:link w:val="BalloonTextChar"/>
    <w:rsid w:val="00C01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085"/>
    <w:pPr>
      <w:spacing w:before="0" w:after="0"/>
    </w:pPr>
  </w:style>
  <w:style w:type="paragraph" w:customStyle="1" w:styleId="BodyTextBold">
    <w:name w:val="Body Text Bold"/>
    <w:basedOn w:val="BodyText"/>
    <w:qFormat/>
    <w:rsid w:val="00C01085"/>
    <w:rPr>
      <w:b/>
    </w:rPr>
  </w:style>
  <w:style w:type="character" w:styleId="Hyperlink">
    <w:name w:val="Hyperlink"/>
    <w:basedOn w:val="DefaultParagraphFont"/>
    <w:uiPriority w:val="99"/>
    <w:unhideWhenUsed/>
    <w:rsid w:val="00681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3851</Characters>
  <Application>Microsoft Office Word</Application>
  <DocSecurity>0</DocSecurity>
  <Lines>183</Lines>
  <Paragraphs>97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UETDRAI004 Treat poles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