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11A" w:rsidP="00D81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UETDRAI001 Inspect and test poles at and below ground level</w:t>
      </w:r>
      <w:r>
        <w:fldChar w:fldCharType="end"/>
      </w:r>
    </w:p>
    <w:p w:rsidR="00D8111A" w:rsidP="00D8111A">
      <w:pPr>
        <w:pStyle w:val="Version"/>
        <w:sectPr w:rsidSect="004C60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085" w:rsidP="004C6085">
      <w:pPr>
        <w:pStyle w:val="SuperHeading"/>
      </w:pPr>
      <w:r w:rsidRPr="004C6085">
        <w:t>Assessment Requirements for UETDRAI001 Inspect and test poles at and below ground level</w:t>
      </w:r>
    </w:p>
    <w:p w:rsidR="00000000" w:rsidRPr="004C6085" w:rsidP="004C6085">
      <w:pPr>
        <w:pStyle w:val="Heading1"/>
      </w:pPr>
      <w:bookmarkStart w:id="1" w:name="O_1177262"/>
      <w:bookmarkEnd w:id="1"/>
      <w:r w:rsidRPr="004C60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85" w:rsidP="004C6085">
            <w:pPr>
              <w:pStyle w:val="BodyText"/>
            </w:pPr>
            <w:r w:rsidRPr="004C608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C6085" w:rsidP="004C6085">
      <w:pPr>
        <w:pStyle w:val="NoPaddingFontSize1"/>
      </w:pPr>
    </w:p>
    <w:p w:rsidR="00000000" w:rsidRPr="004C6085" w:rsidP="004C6085">
      <w:pPr>
        <w:pStyle w:val="AllowPageBreak"/>
      </w:pPr>
    </w:p>
    <w:p w:rsidR="00000000" w:rsidRPr="004C6085" w:rsidP="004C6085">
      <w:pPr>
        <w:pStyle w:val="Heading1"/>
      </w:pPr>
      <w:bookmarkStart w:id="2" w:name="O_1177263"/>
      <w:bookmarkEnd w:id="2"/>
      <w:r w:rsidRPr="004C60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85">
            <w:pPr>
              <w:pStyle w:val="BodyText"/>
              <w:rPr>
                <w:lang w:val="en-NZ"/>
              </w:rPr>
            </w:pPr>
            <w:r w:rsidRPr="004C6085">
              <w:t>Evidence required to demonstrate competence in this unit must be r</w:t>
            </w:r>
            <w:r w:rsidRPr="004C6085">
              <w:t xml:space="preserve">elevant to and satisfy all of the requirements of the elements and performance criteria on at least two separate occasions and include:  </w:t>
            </w:r>
          </w:p>
        </w:tc>
      </w:tr>
      <w:tr w:rsidTr="004C6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85" w:rsidP="004C6085">
            <w:pPr>
              <w:pStyle w:val="ListBullet"/>
            </w:pPr>
            <w:r w:rsidRPr="004C6085">
              <w:t xml:space="preserve">applying relevant legislation, regulations, standards, codes of practice and organisational workplace requirements, </w:t>
            </w:r>
            <w:r w:rsidRPr="004C6085">
              <w:t>including:</w:t>
            </w:r>
          </w:p>
          <w:p w:rsidR="00000000" w:rsidRPr="004C6085" w:rsidP="004C6085">
            <w:pPr>
              <w:pStyle w:val="ListBullet2"/>
            </w:pPr>
            <w:r w:rsidRPr="004C6085">
              <w:t>work health and safety (WHS)/occupational health and safety (OHS)</w:t>
            </w:r>
          </w:p>
          <w:p w:rsidR="00000000" w:rsidRPr="004C6085" w:rsidP="004C6085">
            <w:pPr>
              <w:pStyle w:val="ListBullet2"/>
            </w:pPr>
            <w:r w:rsidRPr="004C6085">
              <w:t>manual handling</w:t>
            </w:r>
          </w:p>
          <w:p w:rsidR="00000000" w:rsidRPr="004C6085" w:rsidP="004C6085">
            <w:pPr>
              <w:pStyle w:val="ListBullet2"/>
            </w:pPr>
            <w:r w:rsidRPr="004C6085">
              <w:t>hazardous materials/substances</w:t>
            </w:r>
          </w:p>
          <w:p w:rsidR="00000000" w:rsidRPr="004C6085" w:rsidP="004C6085">
            <w:pPr>
              <w:pStyle w:val="ListBullet2"/>
            </w:pPr>
            <w:r w:rsidRPr="004C6085">
              <w:t>safe approach distances</w:t>
            </w:r>
          </w:p>
          <w:p w:rsidR="00000000" w:rsidRPr="004C6085" w:rsidP="004C6085">
            <w:pPr>
              <w:pStyle w:val="ListBullet"/>
            </w:pPr>
            <w:r w:rsidRPr="004C6085">
              <w:t>identifying hazards, assessing risks, identifying, applying and monitoring control measures</w:t>
            </w:r>
          </w:p>
          <w:p w:rsidR="00000000" w:rsidRPr="004C6085" w:rsidP="004C6085">
            <w:pPr>
              <w:pStyle w:val="ListBullet"/>
            </w:pPr>
            <w:r w:rsidRPr="004C6085">
              <w:t>obtaining, inspecting and using relevant personal protective equipment (PPE)</w:t>
            </w:r>
          </w:p>
          <w:p w:rsidR="00000000" w:rsidRPr="004C6085" w:rsidP="004C6085">
            <w:pPr>
              <w:pStyle w:val="ListBullet"/>
            </w:pPr>
            <w:r w:rsidRPr="004C6085">
              <w:t>using plant, tools and equipment safely</w:t>
            </w:r>
          </w:p>
          <w:p w:rsidR="00000000" w:rsidRPr="004C6085" w:rsidP="004C6085">
            <w:pPr>
              <w:pStyle w:val="ListBullet"/>
            </w:pPr>
            <w:r w:rsidRPr="004C6085">
              <w:t>visually inspecting poles</w:t>
            </w:r>
          </w:p>
          <w:p w:rsidR="00000000" w:rsidRPr="004C6085" w:rsidP="004C6085">
            <w:pPr>
              <w:pStyle w:val="ListBullet"/>
            </w:pPr>
            <w:r w:rsidRPr="004C6085">
              <w:t>testing poles using at least two (2) of the following methods:</w:t>
            </w:r>
          </w:p>
          <w:p w:rsidR="00000000" w:rsidRPr="004C6085" w:rsidP="004C6085">
            <w:pPr>
              <w:pStyle w:val="ListBullet2"/>
            </w:pPr>
            <w:r w:rsidRPr="004C6085">
              <w:t xml:space="preserve">sounding </w:t>
            </w:r>
          </w:p>
          <w:p w:rsidR="00000000" w:rsidRPr="004C6085" w:rsidP="004C6085">
            <w:pPr>
              <w:pStyle w:val="ListBullet2"/>
            </w:pPr>
            <w:r w:rsidRPr="004C6085">
              <w:t>drilling</w:t>
            </w:r>
          </w:p>
          <w:p w:rsidR="00000000" w:rsidRPr="004C6085" w:rsidP="004C6085">
            <w:pPr>
              <w:pStyle w:val="ListBullet2"/>
            </w:pPr>
            <w:r w:rsidRPr="004C6085">
              <w:t>resistance</w:t>
            </w:r>
          </w:p>
          <w:p w:rsidR="00000000" w:rsidRPr="004C6085" w:rsidP="004C6085">
            <w:pPr>
              <w:pStyle w:val="ListBullet2"/>
            </w:pPr>
            <w:r w:rsidRPr="004C6085">
              <w:t>ultrasonic/acoustic</w:t>
            </w:r>
          </w:p>
          <w:p w:rsidR="00000000" w:rsidRPr="004C6085" w:rsidP="004C6085">
            <w:pPr>
              <w:pStyle w:val="ListBullet2"/>
            </w:pPr>
            <w:r w:rsidRPr="004C6085">
              <w:t xml:space="preserve">radiography </w:t>
            </w:r>
          </w:p>
          <w:p w:rsidR="00000000" w:rsidRPr="004C6085" w:rsidP="004C6085">
            <w:pPr>
              <w:pStyle w:val="ListBullet2"/>
            </w:pPr>
            <w:r w:rsidRPr="004C6085">
              <w:t xml:space="preserve">stress wave </w:t>
            </w:r>
          </w:p>
          <w:p w:rsidR="00000000" w:rsidRPr="004C6085" w:rsidP="004C6085">
            <w:pPr>
              <w:pStyle w:val="ListBullet2"/>
            </w:pPr>
            <w:r w:rsidRPr="004C6085">
              <w:t xml:space="preserve">dynamic (vibration) </w:t>
            </w:r>
          </w:p>
          <w:p w:rsidR="00000000" w:rsidRPr="004C6085" w:rsidP="004C6085">
            <w:pPr>
              <w:pStyle w:val="ListBullet2"/>
            </w:pPr>
            <w:r w:rsidRPr="004C6085">
              <w:t xml:space="preserve">mechanical </w:t>
            </w:r>
          </w:p>
          <w:p w:rsidR="00000000" w:rsidRPr="004C6085" w:rsidP="004C6085">
            <w:pPr>
              <w:pStyle w:val="ListBullet2"/>
            </w:pPr>
            <w:r w:rsidRPr="004C6085">
              <w:t xml:space="preserve">electromagnetic field </w:t>
            </w:r>
          </w:p>
          <w:p w:rsidR="00000000" w:rsidRPr="004C6085" w:rsidP="004C6085">
            <w:pPr>
              <w:pStyle w:val="ListBullet"/>
            </w:pPr>
            <w:r w:rsidRPr="004C6085">
              <w:t>using software applications or workplace documents for:</w:t>
            </w:r>
          </w:p>
          <w:p w:rsidR="00000000" w:rsidRPr="004C6085" w:rsidP="004C6085">
            <w:pPr>
              <w:pStyle w:val="ListBullet2"/>
            </w:pPr>
            <w:r w:rsidRPr="004C6085">
              <w:t>accessing and verifying existing data</w:t>
            </w:r>
          </w:p>
          <w:p w:rsidR="00000000" w:rsidRPr="004C6085" w:rsidP="004C6085">
            <w:pPr>
              <w:pStyle w:val="ListBullet2"/>
            </w:pPr>
            <w:r w:rsidRPr="004C6085">
              <w:t>capturing or recording data</w:t>
            </w:r>
          </w:p>
          <w:p w:rsidR="00000000" w:rsidRPr="004C6085" w:rsidP="004C6085">
            <w:pPr>
              <w:pStyle w:val="ListBullet2"/>
            </w:pPr>
            <w:r w:rsidRPr="004C6085">
              <w:t>analysing and recording results</w:t>
            </w:r>
          </w:p>
          <w:p w:rsidR="00000000" w:rsidRPr="004C6085" w:rsidP="004C6085">
            <w:pPr>
              <w:pStyle w:val="ListBullet"/>
            </w:pPr>
            <w:r w:rsidRPr="004C6085">
              <w:t>indicating pole condition by labelling/marking</w:t>
            </w:r>
          </w:p>
          <w:p w:rsidR="00000000" w:rsidRPr="004C6085" w:rsidP="004C6085">
            <w:pPr>
              <w:pStyle w:val="ListBullet"/>
            </w:pPr>
            <w:r w:rsidRPr="004C6085">
              <w:t>dealing with an unplanned event on at least one (1) occasion</w:t>
            </w:r>
          </w:p>
          <w:p w:rsidR="00000000" w:rsidRPr="004C6085" w:rsidP="004C6085">
            <w:pPr>
              <w:pStyle w:val="ListBullet"/>
            </w:pPr>
            <w:r w:rsidRPr="004C6085">
              <w:t>organising relevant work permits/approvals</w:t>
            </w:r>
          </w:p>
          <w:p w:rsidR="00000000" w:rsidRPr="004C6085" w:rsidP="004C6085">
            <w:pPr>
              <w:pStyle w:val="ListBullet"/>
            </w:pPr>
            <w:r w:rsidRPr="004C6085">
              <w:t>completing relevant work records, reports and documentation.</w:t>
            </w:r>
          </w:p>
        </w:tc>
      </w:tr>
    </w:tbl>
    <w:p w:rsidR="00000000" w:rsidRPr="004C6085" w:rsidP="004C6085">
      <w:pPr>
        <w:pStyle w:val="NoPaddingFontSize1"/>
      </w:pPr>
    </w:p>
    <w:p w:rsidR="00000000" w:rsidRPr="004C6085" w:rsidP="004C6085">
      <w:pPr>
        <w:pStyle w:val="AllowPageBreak"/>
      </w:pPr>
    </w:p>
    <w:p w:rsidR="00000000" w:rsidRPr="004C6085" w:rsidP="004C6085">
      <w:pPr>
        <w:pStyle w:val="Heading1"/>
      </w:pPr>
      <w:bookmarkStart w:id="3" w:name="O_1177264"/>
      <w:bookmarkEnd w:id="3"/>
      <w:r w:rsidRPr="004C60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85">
            <w:pPr>
              <w:pStyle w:val="BodyText"/>
              <w:rPr>
                <w:lang w:val="en-NZ"/>
              </w:rPr>
            </w:pPr>
            <w:r w:rsidRPr="004C608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C6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85" w:rsidP="004C6085">
            <w:pPr>
              <w:pStyle w:val="ListBullet"/>
            </w:pPr>
            <w:r w:rsidRPr="004C6085">
              <w:t>relevant legislation, regulations, standards, codes of practice and organi</w:t>
            </w:r>
            <w:r w:rsidRPr="004C6085">
              <w:t xml:space="preserve">sational workplace requirements, including: </w:t>
            </w:r>
          </w:p>
          <w:p w:rsidR="00000000" w:rsidRPr="004C6085" w:rsidP="004C6085">
            <w:pPr>
              <w:pStyle w:val="ListBullet2"/>
            </w:pPr>
            <w:r w:rsidRPr="004C6085">
              <w:t>WHS/OHS</w:t>
            </w:r>
          </w:p>
          <w:p w:rsidR="00000000" w:rsidRPr="004C6085" w:rsidP="004C6085">
            <w:pPr>
              <w:pStyle w:val="ListBullet2"/>
            </w:pPr>
            <w:r w:rsidRPr="004C6085">
              <w:t>safe approach distances</w:t>
            </w:r>
          </w:p>
          <w:p w:rsidR="00000000" w:rsidRPr="004C6085" w:rsidP="004C6085">
            <w:pPr>
              <w:pStyle w:val="ListBullet2"/>
            </w:pPr>
            <w:r w:rsidRPr="004C6085">
              <w:t>manual handling</w:t>
            </w:r>
          </w:p>
          <w:p w:rsidR="00000000" w:rsidRPr="004C6085" w:rsidP="004C6085">
            <w:pPr>
              <w:pStyle w:val="ListBullet2"/>
            </w:pPr>
            <w:r w:rsidRPr="004C6085">
              <w:t>hazardous materials/substances</w:t>
            </w:r>
          </w:p>
          <w:p w:rsidR="00000000" w:rsidRPr="004C6085" w:rsidP="004C6085">
            <w:pPr>
              <w:pStyle w:val="ListBullet2"/>
            </w:pPr>
            <w:r w:rsidRPr="004C6085">
              <w:t>visual inspection requirements</w:t>
            </w:r>
          </w:p>
          <w:p w:rsidR="00000000" w:rsidRPr="004C6085" w:rsidP="004C6085">
            <w:pPr>
              <w:pStyle w:val="ListBullet"/>
            </w:pPr>
            <w:r w:rsidRPr="004C6085">
              <w:t>hazard, risk assessment and risk control requirements, including potential hazards</w:t>
            </w:r>
          </w:p>
          <w:p w:rsidR="00000000" w:rsidRPr="004C6085" w:rsidP="004C6085">
            <w:pPr>
              <w:pStyle w:val="ListBullet"/>
            </w:pPr>
            <w:r w:rsidRPr="004C6085">
              <w:t>types and application of PPE</w:t>
            </w:r>
          </w:p>
          <w:p w:rsidR="00000000" w:rsidRPr="004C6085" w:rsidP="004C6085">
            <w:pPr>
              <w:pStyle w:val="ListBullet"/>
            </w:pPr>
            <w:r w:rsidRPr="004C6085">
              <w:t xml:space="preserve">safe use of plant, tools and equipment </w:t>
            </w:r>
          </w:p>
          <w:p w:rsidR="00000000" w:rsidRPr="004C6085" w:rsidP="004C6085">
            <w:pPr>
              <w:pStyle w:val="ListBullet"/>
            </w:pPr>
            <w:r w:rsidRPr="004C6085">
              <w:t>application, purpose and types of permits/approvals</w:t>
            </w:r>
          </w:p>
          <w:p w:rsidR="00000000" w:rsidRPr="004C6085" w:rsidP="004C6085">
            <w:pPr>
              <w:pStyle w:val="ListBullet"/>
            </w:pPr>
            <w:r w:rsidRPr="004C6085">
              <w:t>events constituting an unplanned event or incident</w:t>
            </w:r>
          </w:p>
          <w:p w:rsidR="00000000" w:rsidRPr="004C6085" w:rsidP="004C6085">
            <w:pPr>
              <w:pStyle w:val="ListBullet"/>
            </w:pPr>
            <w:r w:rsidRPr="004C6085">
              <w:t>procedures for responding to an unplanned event or incident</w:t>
            </w:r>
          </w:p>
          <w:p w:rsidR="00000000" w:rsidRPr="004C6085" w:rsidP="004C6085">
            <w:pPr>
              <w:pStyle w:val="ListBullet"/>
            </w:pPr>
            <w:r w:rsidRPr="004C6085">
              <w:t>poles, including:</w:t>
            </w:r>
          </w:p>
          <w:p w:rsidR="00000000" w:rsidRPr="004C6085" w:rsidP="004C6085">
            <w:pPr>
              <w:pStyle w:val="ListBullet2"/>
            </w:pPr>
            <w:r w:rsidRPr="004C6085">
              <w:t>types</w:t>
            </w:r>
          </w:p>
          <w:p w:rsidR="00000000" w:rsidRPr="004C6085" w:rsidP="004C6085">
            <w:pPr>
              <w:pStyle w:val="ListBullet2"/>
            </w:pPr>
            <w:r w:rsidRPr="004C6085">
              <w:t>characteristics</w:t>
            </w:r>
          </w:p>
          <w:p w:rsidR="00000000" w:rsidRPr="004C6085" w:rsidP="004C6085">
            <w:pPr>
              <w:pStyle w:val="ListBullet2"/>
            </w:pPr>
            <w:r w:rsidRPr="004C6085">
              <w:t>types of defects</w:t>
            </w:r>
          </w:p>
          <w:p w:rsidR="00000000" w:rsidRPr="004C6085" w:rsidP="004C6085">
            <w:pPr>
              <w:pStyle w:val="ListBullet"/>
            </w:pPr>
            <w:r w:rsidRPr="004C6085">
              <w:t>electricity network construction types</w:t>
            </w:r>
          </w:p>
          <w:p w:rsidR="00000000" w:rsidRPr="004C6085" w:rsidP="004C6085">
            <w:pPr>
              <w:pStyle w:val="ListBullet"/>
            </w:pPr>
            <w:r w:rsidRPr="004C6085">
              <w:t>pole testing methods and procedures</w:t>
            </w:r>
          </w:p>
          <w:p w:rsidR="00000000" w:rsidRPr="004C6085" w:rsidP="004C6085">
            <w:pPr>
              <w:pStyle w:val="ListBullet"/>
            </w:pPr>
            <w:r w:rsidRPr="004C6085">
              <w:t>test equipment, including:</w:t>
            </w:r>
          </w:p>
          <w:p w:rsidR="00000000" w:rsidRPr="004C6085" w:rsidP="004C6085">
            <w:pPr>
              <w:pStyle w:val="ListBullet2"/>
            </w:pPr>
            <w:r w:rsidRPr="004C6085">
              <w:t>types</w:t>
            </w:r>
          </w:p>
          <w:p w:rsidR="00000000" w:rsidRPr="004C6085" w:rsidP="004C6085">
            <w:pPr>
              <w:pStyle w:val="ListBullet2"/>
            </w:pPr>
            <w:r w:rsidRPr="004C6085">
              <w:t>selection</w:t>
            </w:r>
          </w:p>
          <w:p w:rsidR="00000000" w:rsidRPr="004C6085" w:rsidP="004C6085">
            <w:pPr>
              <w:pStyle w:val="ListBullet2"/>
            </w:pPr>
            <w:r w:rsidRPr="004C6085">
              <w:t>operation and characteristics</w:t>
            </w:r>
          </w:p>
          <w:p w:rsidR="00000000" w:rsidRPr="004C6085" w:rsidP="004C6085">
            <w:pPr>
              <w:pStyle w:val="ListBullet2"/>
            </w:pPr>
            <w:r w:rsidRPr="004C6085">
              <w:t>calibration</w:t>
            </w:r>
          </w:p>
          <w:p w:rsidR="00000000" w:rsidRPr="004C6085" w:rsidP="004C6085">
            <w:pPr>
              <w:pStyle w:val="ListBullet2"/>
            </w:pPr>
            <w:r w:rsidRPr="004C6085">
              <w:t>handling</w:t>
            </w:r>
          </w:p>
          <w:p w:rsidR="00000000" w:rsidRPr="004C6085" w:rsidP="004C6085">
            <w:pPr>
              <w:pStyle w:val="ListBullet2"/>
            </w:pPr>
            <w:r w:rsidRPr="004C6085">
              <w:t>maintenance</w:t>
            </w:r>
          </w:p>
          <w:p w:rsidR="00000000" w:rsidRPr="004C6085" w:rsidP="004C6085">
            <w:pPr>
              <w:pStyle w:val="ListBullet2"/>
            </w:pPr>
            <w:r w:rsidRPr="004C6085">
              <w:t>storage</w:t>
            </w:r>
          </w:p>
          <w:p w:rsidR="00000000" w:rsidRPr="004C6085" w:rsidP="004C6085">
            <w:pPr>
              <w:pStyle w:val="ListBullet"/>
            </w:pPr>
            <w:r w:rsidRPr="004C6085">
              <w:t>procedures for inter</w:t>
            </w:r>
            <w:r w:rsidRPr="004C6085">
              <w:t>pretation and recording of results</w:t>
            </w:r>
          </w:p>
          <w:p w:rsidR="00000000" w:rsidRPr="004C6085" w:rsidP="004C6085">
            <w:pPr>
              <w:pStyle w:val="ListBullet"/>
            </w:pPr>
            <w:r w:rsidRPr="004C6085">
              <w:t>pole marking/labelling requirements</w:t>
            </w:r>
          </w:p>
          <w:p w:rsidR="00000000" w:rsidRPr="004C6085" w:rsidP="004C6085">
            <w:pPr>
              <w:pStyle w:val="ListBullet"/>
            </w:pPr>
            <w:r w:rsidRPr="004C6085">
              <w:t>reporting requirements</w:t>
            </w:r>
          </w:p>
          <w:p w:rsidR="00000000" w:rsidRPr="004C6085" w:rsidP="004C6085">
            <w:pPr>
              <w:pStyle w:val="ListBullet"/>
            </w:pPr>
            <w:r w:rsidRPr="004C6085">
              <w:t>software applications and/or data capturing documentation.</w:t>
            </w:r>
          </w:p>
        </w:tc>
      </w:tr>
    </w:tbl>
    <w:p w:rsidR="00000000" w:rsidRPr="004C6085" w:rsidP="004C6085">
      <w:pPr>
        <w:pStyle w:val="NoPaddingFontSize1"/>
      </w:pPr>
    </w:p>
    <w:p w:rsidR="00000000" w:rsidRPr="004C6085" w:rsidP="004C6085">
      <w:pPr>
        <w:pStyle w:val="AllowPageBreak"/>
      </w:pPr>
    </w:p>
    <w:p w:rsidR="00000000" w:rsidRPr="004C6085" w:rsidP="004C6085">
      <w:pPr>
        <w:pStyle w:val="Heading1"/>
      </w:pPr>
      <w:bookmarkStart w:id="4" w:name="O_1177265"/>
      <w:bookmarkEnd w:id="4"/>
      <w:r w:rsidRPr="004C60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85" w:rsidP="004C6085">
            <w:pPr>
              <w:pStyle w:val="BodyText"/>
            </w:pPr>
            <w:r w:rsidRPr="004C6085">
              <w:t xml:space="preserve">Assessors must hold credentials specified within the Standards for Registered Training </w:t>
            </w:r>
            <w:r w:rsidRPr="004C6085">
              <w:t>Organisations current at the time of assessment.</w:t>
            </w:r>
          </w:p>
          <w:p w:rsidR="00000000" w:rsidRPr="004C6085" w:rsidP="004C6085">
            <w:pPr>
              <w:pStyle w:val="BodyText"/>
            </w:pPr>
            <w:r w:rsidRPr="004C6085">
              <w:t>Assessment must satisfy the Principles of Assessment and Rules of Evidence and all regulatory requirements included with</w:t>
            </w:r>
            <w:r w:rsidRPr="004C6085">
              <w:t>in the Standards for Registered Training Organisations current at the time of assessment.</w:t>
            </w:r>
          </w:p>
          <w:p w:rsidR="00000000" w:rsidRPr="004C6085" w:rsidP="004C6085">
            <w:pPr>
              <w:pStyle w:val="BodyText"/>
            </w:pPr>
            <w:r w:rsidRPr="004C6085">
              <w:t>Assessment must occur in workplace operational situations, where it is appropriate to do so.</w:t>
            </w:r>
          </w:p>
          <w:p w:rsidR="00000000" w:rsidRPr="004C6085" w:rsidP="004C6085">
            <w:pPr>
              <w:pStyle w:val="BodyText"/>
            </w:pPr>
            <w:r w:rsidRPr="004C6085">
              <w:t>Where this is not appropriate, assessment must occur in simulated conditi</w:t>
            </w:r>
            <w:r w:rsidRPr="004C6085">
              <w:t>ons involving realistic and authentic activities that replicate operational workplace conditions.</w:t>
            </w:r>
          </w:p>
          <w:p w:rsidR="00000000" w:rsidRPr="004C6085" w:rsidP="004C6085">
            <w:pPr>
              <w:pStyle w:val="BodyText"/>
            </w:pPr>
            <w:r w:rsidRPr="004C6085">
              <w:t>Assessment processes and techniques must be appropriate to the language, literacy and numeracy requirements of the work being performed and the needs of the c</w:t>
            </w:r>
            <w:r w:rsidRPr="004C6085">
              <w:t>andidate.</w:t>
            </w:r>
          </w:p>
          <w:p w:rsidR="00000000" w:rsidRPr="004C6085" w:rsidP="004C6085">
            <w:pPr>
              <w:pStyle w:val="BodyText"/>
            </w:pPr>
            <w:r w:rsidRPr="004C6085">
              <w:t>Resources for assessment must include access to:</w:t>
            </w:r>
          </w:p>
          <w:p w:rsidR="00000000" w:rsidRPr="004C6085" w:rsidP="004C6085">
            <w:pPr>
              <w:pStyle w:val="ListBullet"/>
            </w:pPr>
            <w:r w:rsidRPr="004C6085">
              <w:t>relevant and appropriate materials, tools, equipment and PPE currently used to inspect and test poles at and below ground level</w:t>
            </w:r>
          </w:p>
          <w:p w:rsidR="00000000" w:rsidRPr="004C6085" w:rsidP="004C6085">
            <w:pPr>
              <w:pStyle w:val="ListBullet"/>
            </w:pPr>
            <w:r w:rsidRPr="004C6085">
              <w:t>applicable documentation, including workplace requirements, equipmen</w:t>
            </w:r>
            <w:r w:rsidRPr="004C6085">
              <w:t>t specifications, regulations, codes of practice and operation manuals.</w:t>
            </w:r>
          </w:p>
        </w:tc>
      </w:tr>
    </w:tbl>
    <w:p w:rsidR="00000000" w:rsidRPr="004C6085" w:rsidP="004C6085">
      <w:pPr>
        <w:pStyle w:val="NoPaddingFontSize1"/>
      </w:pPr>
    </w:p>
    <w:p w:rsidR="00000000" w:rsidRPr="004C6085" w:rsidP="004C6085">
      <w:pPr>
        <w:pStyle w:val="AllowPageBreak"/>
      </w:pPr>
    </w:p>
    <w:p w:rsidR="00000000" w:rsidRPr="004C6085" w:rsidP="004C6085">
      <w:pPr>
        <w:pStyle w:val="Heading1"/>
      </w:pPr>
      <w:bookmarkStart w:id="5" w:name="O_1177268"/>
      <w:bookmarkEnd w:id="5"/>
      <w:r w:rsidRPr="004C6085">
        <w:t>Links</w:t>
      </w:r>
    </w:p>
    <w:p w:rsidR="00000000" w:rsidRPr="004C6085" w:rsidP="00D8111A">
      <w:pPr>
        <w:pStyle w:val="BodyText"/>
      </w:pPr>
      <w:r w:rsidRPr="004C60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214D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C6085" w:rsidP="004C6085"/>
    <w:sectPr w:rsidSect="004C60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85" w:rsidRPr="00D8111A" w:rsidP="00D81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1A" w:rsidP="004C6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11A" w:rsidP="004C6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111A" w:rsidP="004C60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085" w:rsidRPr="00D8111A" w:rsidP="00D81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1A" w:rsidRPr="002D2AF8" w:rsidP="004C6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UETDRAI001 Inspect and test poles at and below ground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8111A" w:rsidP="004C60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9A1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744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687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0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0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0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0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0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0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0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0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0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0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085"/>
  </w:style>
  <w:style w:type="character" w:customStyle="1" w:styleId="Heading1Char">
    <w:name w:val="Heading 1 Char"/>
    <w:basedOn w:val="DefaultParagraphFont"/>
    <w:link w:val="Heading1"/>
    <w:rsid w:val="004C60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0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0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0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60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60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0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60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0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0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0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0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0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0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0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0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0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0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0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0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0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0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0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6085"/>
    <w:rPr>
      <w:b/>
      <w:spacing w:val="0"/>
    </w:rPr>
  </w:style>
  <w:style w:type="paragraph" w:customStyle="1" w:styleId="SuperTitle">
    <w:name w:val="SuperTitle"/>
    <w:basedOn w:val="Title"/>
    <w:rsid w:val="004C60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0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0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0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0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0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0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0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0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0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0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0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085"/>
    <w:rPr>
      <w:i/>
    </w:rPr>
  </w:style>
  <w:style w:type="paragraph" w:styleId="Caption">
    <w:name w:val="caption"/>
    <w:basedOn w:val="BodyText"/>
    <w:next w:val="Normal"/>
    <w:qFormat/>
    <w:rsid w:val="004C60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0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0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085"/>
  </w:style>
  <w:style w:type="paragraph" w:styleId="TableofFigures">
    <w:name w:val="table of figures"/>
    <w:basedOn w:val="Normal"/>
    <w:next w:val="Normal"/>
    <w:semiHidden/>
    <w:rsid w:val="004C60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0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6085"/>
    <w:rPr>
      <w:rFonts w:ascii="Wingdings" w:hAnsi="Wingdings"/>
    </w:rPr>
  </w:style>
  <w:style w:type="paragraph" w:customStyle="1" w:styleId="TableHeading">
    <w:name w:val="Table Heading"/>
    <w:basedOn w:val="HeadingBase"/>
    <w:rsid w:val="004C60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085"/>
    <w:rPr>
      <w:color w:val="0033CC"/>
      <w:u w:val="none"/>
    </w:rPr>
  </w:style>
  <w:style w:type="paragraph" w:customStyle="1" w:styleId="BodyTextRight">
    <w:name w:val="Body Text Right"/>
    <w:basedOn w:val="BodyText"/>
    <w:rsid w:val="004C60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0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0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0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0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0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085"/>
    <w:rPr>
      <w:sz w:val="32"/>
    </w:rPr>
  </w:style>
  <w:style w:type="paragraph" w:customStyle="1" w:styleId="HeadingProcedure">
    <w:name w:val="Heading Procedure"/>
    <w:basedOn w:val="HeadingBase"/>
    <w:next w:val="Normal"/>
    <w:rsid w:val="004C60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085"/>
    <w:pPr>
      <w:spacing w:before="60" w:after="60"/>
    </w:pPr>
  </w:style>
  <w:style w:type="paragraph" w:styleId="ListContinue">
    <w:name w:val="List Continue"/>
    <w:basedOn w:val="List"/>
    <w:rsid w:val="004C6085"/>
    <w:pPr>
      <w:ind w:firstLine="0"/>
    </w:pPr>
  </w:style>
  <w:style w:type="paragraph" w:customStyle="1" w:styleId="ListNote">
    <w:name w:val="List Note"/>
    <w:basedOn w:val="List"/>
    <w:rsid w:val="004C60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0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0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085"/>
    <w:rPr>
      <w:rFonts w:ascii="Courier New" w:hAnsi="Courier New"/>
    </w:rPr>
  </w:style>
  <w:style w:type="paragraph" w:customStyle="1" w:styleId="NoteBullet">
    <w:name w:val="Note Bullet"/>
    <w:basedOn w:val="Note"/>
    <w:rsid w:val="004C60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0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0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0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0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60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0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085"/>
    <w:rPr>
      <w:b/>
      <w:smallCaps/>
    </w:rPr>
  </w:style>
  <w:style w:type="paragraph" w:customStyle="1" w:styleId="TableListNumber">
    <w:name w:val="Table List Number"/>
    <w:basedOn w:val="ListNumber"/>
    <w:rsid w:val="004C60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0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085"/>
    <w:pPr>
      <w:numPr>
        <w:numId w:val="9"/>
      </w:numPr>
    </w:pPr>
  </w:style>
  <w:style w:type="paragraph" w:customStyle="1" w:styleId="ListAlpha2">
    <w:name w:val="List Alpha 2"/>
    <w:basedOn w:val="List2"/>
    <w:rsid w:val="004C6085"/>
    <w:pPr>
      <w:numPr>
        <w:numId w:val="8"/>
      </w:numPr>
    </w:pPr>
  </w:style>
  <w:style w:type="paragraph" w:styleId="List2">
    <w:name w:val="List 2"/>
    <w:basedOn w:val="BodyText"/>
    <w:rsid w:val="004C60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0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0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0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0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0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6085"/>
    <w:pPr>
      <w:numPr>
        <w:numId w:val="4"/>
      </w:numPr>
    </w:pPr>
  </w:style>
  <w:style w:type="paragraph" w:styleId="ListContinue2">
    <w:name w:val="List Continue 2"/>
    <w:basedOn w:val="List2"/>
    <w:rsid w:val="004C6085"/>
    <w:pPr>
      <w:ind w:firstLine="0"/>
    </w:pPr>
  </w:style>
  <w:style w:type="paragraph" w:styleId="ListContinue3">
    <w:name w:val="List Continue 3"/>
    <w:basedOn w:val="List3"/>
    <w:rsid w:val="004C6085"/>
    <w:pPr>
      <w:ind w:left="1021" w:firstLine="0"/>
    </w:pPr>
  </w:style>
  <w:style w:type="paragraph" w:styleId="ListContinue4">
    <w:name w:val="List Continue 4"/>
    <w:basedOn w:val="List4"/>
    <w:rsid w:val="004C6085"/>
    <w:pPr>
      <w:ind w:firstLine="0"/>
    </w:pPr>
  </w:style>
  <w:style w:type="paragraph" w:styleId="ListContinue5">
    <w:name w:val="List Continue 5"/>
    <w:basedOn w:val="List5"/>
    <w:rsid w:val="004C6085"/>
    <w:pPr>
      <w:ind w:firstLine="0"/>
    </w:pPr>
  </w:style>
  <w:style w:type="paragraph" w:styleId="ListNumber3">
    <w:name w:val="List Number 3"/>
    <w:basedOn w:val="List3"/>
    <w:rsid w:val="004C6085"/>
    <w:pPr>
      <w:numPr>
        <w:numId w:val="5"/>
      </w:numPr>
    </w:pPr>
  </w:style>
  <w:style w:type="paragraph" w:styleId="ListNumber4">
    <w:name w:val="List Number 4"/>
    <w:basedOn w:val="List4"/>
    <w:rsid w:val="004C6085"/>
    <w:pPr>
      <w:numPr>
        <w:numId w:val="6"/>
      </w:numPr>
    </w:pPr>
  </w:style>
  <w:style w:type="paragraph" w:styleId="ListNumber5">
    <w:name w:val="List Number 5"/>
    <w:basedOn w:val="List5"/>
    <w:rsid w:val="004C6085"/>
    <w:pPr>
      <w:numPr>
        <w:numId w:val="7"/>
      </w:numPr>
    </w:pPr>
  </w:style>
  <w:style w:type="paragraph" w:styleId="BlockText">
    <w:name w:val="Block Text"/>
    <w:basedOn w:val="Normal"/>
    <w:rsid w:val="004C60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0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085"/>
    <w:rPr>
      <w:sz w:val="16"/>
      <w:vertAlign w:val="superscript"/>
    </w:rPr>
  </w:style>
  <w:style w:type="character" w:customStyle="1" w:styleId="Symbols">
    <w:name w:val="Symbols"/>
    <w:basedOn w:val="DefaultParagraphFont"/>
    <w:rsid w:val="004C6085"/>
    <w:rPr>
      <w:rFonts w:ascii="Symbol" w:hAnsi="Symbol"/>
    </w:rPr>
  </w:style>
  <w:style w:type="character" w:customStyle="1" w:styleId="MenuOptions">
    <w:name w:val="Menu Options"/>
    <w:basedOn w:val="DefaultParagraphFont"/>
    <w:rsid w:val="004C60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085"/>
    <w:rPr>
      <w:b/>
    </w:rPr>
  </w:style>
  <w:style w:type="character" w:customStyle="1" w:styleId="Underlined">
    <w:name w:val="Underlined"/>
    <w:basedOn w:val="DefaultParagraphFont"/>
    <w:rsid w:val="004C6085"/>
    <w:rPr>
      <w:u w:val="single"/>
    </w:rPr>
  </w:style>
  <w:style w:type="paragraph" w:customStyle="1" w:styleId="TableBodyTextRight">
    <w:name w:val="Table Body Text Right"/>
    <w:basedOn w:val="TableBodyText"/>
    <w:rsid w:val="004C60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085"/>
    <w:rPr>
      <w:sz w:val="18"/>
    </w:rPr>
  </w:style>
  <w:style w:type="paragraph" w:customStyle="1" w:styleId="BodySmallRight">
    <w:name w:val="Body Small Right"/>
    <w:basedOn w:val="BodyTextRight"/>
    <w:rsid w:val="004C6085"/>
    <w:rPr>
      <w:sz w:val="18"/>
      <w:szCs w:val="18"/>
    </w:rPr>
  </w:style>
  <w:style w:type="paragraph" w:customStyle="1" w:styleId="MarginEdition">
    <w:name w:val="Margin Edition"/>
    <w:basedOn w:val="MarginNote"/>
    <w:rsid w:val="004C60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085"/>
    <w:rPr>
      <w:sz w:val="2"/>
      <w:szCs w:val="2"/>
    </w:rPr>
  </w:style>
  <w:style w:type="character" w:customStyle="1" w:styleId="Small">
    <w:name w:val="Small"/>
    <w:basedOn w:val="DefaultParagraphFont"/>
    <w:rsid w:val="004C6085"/>
    <w:rPr>
      <w:sz w:val="16"/>
    </w:rPr>
  </w:style>
  <w:style w:type="paragraph" w:customStyle="1" w:styleId="WideTable">
    <w:name w:val="Wide Table"/>
    <w:basedOn w:val="Normal"/>
    <w:rsid w:val="004C60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085"/>
  </w:style>
  <w:style w:type="paragraph" w:styleId="Quote">
    <w:name w:val="Quote"/>
    <w:basedOn w:val="Heading1"/>
    <w:link w:val="QuoteChar"/>
    <w:qFormat/>
    <w:rsid w:val="004C60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0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085"/>
    <w:pPr>
      <w:pageBreakBefore/>
    </w:pPr>
  </w:style>
  <w:style w:type="paragraph" w:customStyle="1" w:styleId="Border">
    <w:name w:val="Border"/>
    <w:basedOn w:val="Normal"/>
    <w:qFormat/>
    <w:rsid w:val="004C60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0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0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0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0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0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0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0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0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085"/>
    <w:rPr>
      <w:u w:val="single"/>
    </w:rPr>
  </w:style>
  <w:style w:type="character" w:customStyle="1" w:styleId="BoldandItalics">
    <w:name w:val="Bold and Italics"/>
    <w:qFormat/>
    <w:rsid w:val="004C6085"/>
    <w:rPr>
      <w:b/>
      <w:i/>
      <w:u w:val="none"/>
    </w:rPr>
  </w:style>
  <w:style w:type="paragraph" w:styleId="BalloonText">
    <w:name w:val="Balloon Text"/>
    <w:basedOn w:val="Normal"/>
    <w:link w:val="BalloonTextChar"/>
    <w:rsid w:val="004C6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0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0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0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0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0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085"/>
    <w:pPr>
      <w:spacing w:before="0" w:after="0"/>
    </w:pPr>
  </w:style>
  <w:style w:type="paragraph" w:customStyle="1" w:styleId="BodyTextBold">
    <w:name w:val="Body Text Bold"/>
    <w:basedOn w:val="BodyText"/>
    <w:qFormat/>
    <w:rsid w:val="004C6085"/>
    <w:rPr>
      <w:b/>
    </w:rPr>
  </w:style>
  <w:style w:type="character" w:styleId="Hyperlink">
    <w:name w:val="Hyperlink"/>
    <w:basedOn w:val="DefaultParagraphFont"/>
    <w:uiPriority w:val="99"/>
    <w:unhideWhenUsed/>
    <w:rsid w:val="00D81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3721</Characters>
  <Application>Microsoft Office Word</Application>
  <DocSecurity>0</DocSecurity>
  <Lines>109</Lines>
  <Paragraphs>90</Paragraphs>
  <ScaleCrop>false</ScaleCrop>
  <Company>Author-it Software Corporation Ltd.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UETDRAI001 Inspect and test poles at and below ground level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