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B22" w:rsidP="004A2B22">
      <w:pPr>
        <w:pStyle w:val="Title"/>
      </w:pPr>
      <w:bookmarkStart w:id="0" w:name="_GoBack"/>
      <w:bookmarkEnd w:id="0"/>
      <w:r>
        <w:fldChar w:fldCharType="begin"/>
      </w:r>
      <w:r>
        <w:instrText xml:space="preserve"> TITLE   \* MERGEFORMAT </w:instrText>
      </w:r>
      <w:r>
        <w:fldChar w:fldCharType="separate"/>
      </w:r>
      <w:r>
        <w:t>UEPOPS511B Tune process plant and equipment</w:t>
      </w:r>
      <w:r>
        <w:fldChar w:fldCharType="end"/>
      </w:r>
    </w:p>
    <w:p w:rsidR="004A2B22" w:rsidP="004A2B22">
      <w:pPr>
        <w:pStyle w:val="Version"/>
        <w:sectPr w:rsidSect="006F5E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5E9D" w:rsidP="006F5E9D">
      <w:pPr>
        <w:pStyle w:val="SuperHeading"/>
      </w:pPr>
      <w:r w:rsidRPr="006F5E9D">
        <w:t>UEPOPS511B Tune process plant and equipment</w:t>
      </w:r>
    </w:p>
    <w:p w:rsidR="00000000" w:rsidRPr="006F5E9D" w:rsidP="006F5E9D">
      <w:pPr>
        <w:pStyle w:val="Heading1"/>
      </w:pPr>
      <w:bookmarkStart w:id="1" w:name="O_471363"/>
      <w:bookmarkEnd w:id="1"/>
      <w:r w:rsidRPr="006F5E9D">
        <w:t>Modification History</w:t>
      </w:r>
    </w:p>
    <w:p w:rsidR="00000000" w:rsidRPr="006F5E9D" w:rsidP="006F5E9D">
      <w:pPr>
        <w:pStyle w:val="BodyText"/>
      </w:pPr>
      <w:r w:rsidRPr="006F5E9D">
        <w:t>Not applicable.</w:t>
      </w:r>
    </w:p>
    <w:p w:rsidR="00000000" w:rsidRPr="006F5E9D" w:rsidP="006F5E9D">
      <w:pPr>
        <w:pStyle w:val="AllowPageBreak"/>
      </w:pPr>
    </w:p>
    <w:p w:rsidR="00000000" w:rsidRPr="006F5E9D" w:rsidP="006F5E9D">
      <w:pPr>
        <w:pStyle w:val="Heading1"/>
      </w:pPr>
      <w:bookmarkStart w:id="2" w:name="O_471361"/>
      <w:bookmarkEnd w:id="2"/>
      <w:r w:rsidRPr="006F5E9D">
        <w:t>Unit Descriptor</w:t>
      </w:r>
    </w:p>
    <w:tbl>
      <w:tblPr>
        <w:tblW w:w="0" w:type="auto"/>
        <w:tblLayout w:type="fixed"/>
        <w:tblCellMar>
          <w:left w:w="62" w:type="dxa"/>
          <w:right w:w="62" w:type="dxa"/>
        </w:tblCellMar>
        <w:tblLook w:val="0000"/>
      </w:tblPr>
      <w:tblGrid>
        <w:gridCol w:w="2700"/>
        <w:gridCol w:w="5760"/>
      </w:tblGrid>
      <w:tr w:rsidTr="004A2B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rPr>
                <w:rStyle w:val="SpecialBold"/>
              </w:rPr>
              <w:t>1)</w:t>
            </w:r>
            <w:r w:rsidRPr="006F5E9D">
              <w:t xml:space="preserve"> </w:t>
            </w:r>
            <w:r w:rsidRPr="006F5E9D">
              <w:rPr>
                <w:rStyle w:val="SpecialBold"/>
              </w:rPr>
              <w:t>Scope:</w:t>
            </w:r>
          </w:p>
        </w:tc>
      </w:tr>
      <w:tr w:rsidTr="004A2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5E9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rPr>
                <w:rStyle w:val="SpecialBold"/>
              </w:rPr>
              <w:t>1.1) Descriptor</w:t>
            </w:r>
          </w:p>
        </w:tc>
      </w:tr>
      <w:tr w:rsidTr="004A2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t>This unit deals with the skills and knowledge required to complete the investigation, nomination and adjustments of tuning parameters associated with generation plant, equipment and processes.</w:t>
            </w:r>
          </w:p>
        </w:tc>
      </w:tr>
    </w:tbl>
    <w:p w:rsidR="00000000" w:rsidRPr="006F5E9D" w:rsidP="006F5E9D">
      <w:pPr>
        <w:pStyle w:val="BodyText"/>
      </w:pPr>
    </w:p>
    <w:p w:rsidR="00000000" w:rsidRPr="006F5E9D" w:rsidP="006F5E9D">
      <w:pPr>
        <w:pStyle w:val="AllowPageBreak"/>
      </w:pPr>
    </w:p>
    <w:p w:rsidR="00000000" w:rsidRPr="006F5E9D" w:rsidP="006F5E9D">
      <w:pPr>
        <w:pStyle w:val="Heading1"/>
      </w:pPr>
      <w:bookmarkStart w:id="3" w:name="O_471350"/>
      <w:bookmarkEnd w:id="3"/>
      <w:r w:rsidRPr="006F5E9D">
        <w:t>Application of the Unit</w:t>
      </w:r>
    </w:p>
    <w:tbl>
      <w:tblPr>
        <w:tblW w:w="0" w:type="auto"/>
        <w:tblLayout w:type="fixed"/>
        <w:tblCellMar>
          <w:left w:w="62" w:type="dxa"/>
          <w:right w:w="62" w:type="dxa"/>
        </w:tblCellMar>
        <w:tblLook w:val="0000"/>
      </w:tblPr>
      <w:tblGrid>
        <w:gridCol w:w="2672"/>
        <w:gridCol w:w="5699"/>
      </w:tblGrid>
      <w:tr w:rsidTr="004A2B2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rPr>
                <w:rStyle w:val="SpecialBold"/>
              </w:rPr>
              <w:t>Application of the U</w:t>
            </w:r>
            <w:r w:rsidRPr="006F5E9D">
              <w:rPr>
                <w:rStyle w:val="SpecialBold"/>
              </w:rPr>
              <w:t>nit</w:t>
            </w:r>
          </w:p>
        </w:tc>
        <w:tc>
          <w:tcPr>
            <w:tcW w:w="5699"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rPr>
                <w:rStyle w:val="SpecialBold"/>
              </w:rPr>
              <w:t>2)</w:t>
            </w:r>
          </w:p>
        </w:tc>
      </w:tr>
      <w:tr w:rsidTr="004A2B2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t>This unit is intended to augment formally acquired competencies. It is suitable for employment-based programs under an approved contract of training.</w:t>
            </w:r>
          </w:p>
        </w:tc>
      </w:tr>
    </w:tbl>
    <w:p w:rsidR="00000000" w:rsidRPr="006F5E9D" w:rsidP="006F5E9D">
      <w:pPr>
        <w:pStyle w:val="BodyText"/>
      </w:pPr>
    </w:p>
    <w:p w:rsidR="00000000" w:rsidRPr="006F5E9D" w:rsidP="006F5E9D">
      <w:pPr>
        <w:pStyle w:val="AllowPageBreak"/>
      </w:pPr>
    </w:p>
    <w:p w:rsidR="00000000" w:rsidRPr="006F5E9D" w:rsidP="006F5E9D">
      <w:pPr>
        <w:pStyle w:val="Heading1"/>
      </w:pPr>
      <w:bookmarkStart w:id="4" w:name="O_471357"/>
      <w:bookmarkEnd w:id="4"/>
      <w:r w:rsidRPr="006F5E9D">
        <w:t>Licensing/Regulatory Information</w:t>
      </w:r>
    </w:p>
    <w:tbl>
      <w:tblPr>
        <w:tblW w:w="0" w:type="auto"/>
        <w:tblLayout w:type="fixed"/>
        <w:tblCellMar>
          <w:left w:w="62" w:type="dxa"/>
          <w:right w:w="62" w:type="dxa"/>
        </w:tblCellMar>
        <w:tblLook w:val="0000"/>
      </w:tblPr>
      <w:tblGrid>
        <w:gridCol w:w="2700"/>
        <w:gridCol w:w="5760"/>
      </w:tblGrid>
      <w:tr w:rsidTr="004A2B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rPr>
                <w:rStyle w:val="SpecialBold"/>
              </w:rPr>
              <w:t xml:space="preserve">3) </w:t>
            </w:r>
          </w:p>
        </w:tc>
      </w:tr>
      <w:tr w:rsidTr="004A2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t>The skills and knowledge described in this unit do not require a licence to practise in the workplace. However, practice in this unit is subject to regulations directly related to Occupational Health and Safety and where applicable contracts of training su</w:t>
            </w:r>
            <w:r w:rsidRPr="006F5E9D">
              <w:t>ch as apprenticeships and the like.</w:t>
            </w:r>
          </w:p>
        </w:tc>
      </w:tr>
    </w:tbl>
    <w:p w:rsidR="00000000" w:rsidRPr="006F5E9D" w:rsidP="006F5E9D">
      <w:pPr>
        <w:pStyle w:val="BodyText"/>
      </w:pPr>
    </w:p>
    <w:p w:rsidR="00000000" w:rsidRPr="006F5E9D" w:rsidP="006F5E9D">
      <w:pPr>
        <w:pStyle w:val="AllowPageBreak"/>
      </w:pPr>
    </w:p>
    <w:p w:rsidR="00000000" w:rsidRPr="006F5E9D" w:rsidP="006F5E9D">
      <w:pPr>
        <w:pStyle w:val="Heading1"/>
      </w:pPr>
      <w:bookmarkStart w:id="5" w:name="O_471358"/>
      <w:bookmarkEnd w:id="5"/>
      <w:r w:rsidRPr="006F5E9D">
        <w:t>Pre-Requisites</w:t>
      </w:r>
    </w:p>
    <w:tbl>
      <w:tblPr>
        <w:tblW w:w="0" w:type="auto"/>
        <w:tblLayout w:type="fixed"/>
        <w:tblCellMar>
          <w:left w:w="62" w:type="dxa"/>
          <w:right w:w="62" w:type="dxa"/>
        </w:tblCellMar>
        <w:tblLook w:val="0000"/>
      </w:tblPr>
      <w:tblGrid>
        <w:gridCol w:w="2700"/>
        <w:gridCol w:w="5764"/>
      </w:tblGrid>
      <w:tr w:rsidTr="004A2B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rPr>
                <w:rStyle w:val="SpecialBold"/>
              </w:rPr>
              <w:t xml:space="preserve">4) </w:t>
            </w:r>
          </w:p>
        </w:tc>
      </w:tr>
      <w:tr w:rsidTr="004A2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rPr>
                <w:rStyle w:val="SpecialBold"/>
              </w:rPr>
              <w:t>4.1)</w:t>
            </w:r>
          </w:p>
        </w:tc>
      </w:tr>
      <w:tr w:rsidTr="004A2B22">
        <w:tblPrEx>
          <w:tblW w:w="0" w:type="auto"/>
          <w:tblLayout w:type="fixed"/>
          <w:tblCellMar>
            <w:left w:w="62" w:type="dxa"/>
            <w:right w:w="62" w:type="dxa"/>
          </w:tblCellMar>
          <w:tblLook w:val="0000"/>
        </w:tblPrEx>
        <w:trPr>
          <w:trHeight w:val="207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t>Granting of competency in this unit shall be made only after competency in the following unit(s) has/have been confirmed.</w:t>
            </w:r>
          </w:p>
          <w:p w:rsidR="00000000" w:rsidRPr="006F5E9D" w:rsidP="006F5E9D">
            <w:pPr>
              <w:pStyle w:val="BodyText"/>
            </w:pPr>
            <w:r w:rsidRPr="006F5E9D">
              <w:t>Where pre-requisite pathways have been identified. All competencies in the Common Unit Group must be have been completed.</w:t>
            </w:r>
          </w:p>
          <w:p w:rsidR="00000000" w:rsidRPr="006F5E9D" w:rsidP="006F5E9D">
            <w:pPr>
              <w:pStyle w:val="BodyText"/>
            </w:pPr>
            <w:r w:rsidRPr="006F5E9D">
              <w:t>There are no pre-requisite units.</w:t>
            </w:r>
          </w:p>
        </w:tc>
      </w:tr>
    </w:tbl>
    <w:p w:rsidR="00000000" w:rsidRPr="006F5E9D" w:rsidP="006F5E9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A2B2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rPr>
                <w:rStyle w:val="SpecialBold"/>
              </w:rPr>
              <w:t xml:space="preserve">4.2) </w:t>
            </w:r>
          </w:p>
        </w:tc>
      </w:tr>
      <w:tr w:rsidTr="004A2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 xml:space="preserve">Participants are best equipped to </w:t>
            </w:r>
            <w:r w:rsidRPr="006F5E9D">
              <w:t>achieve this unit if they have reading, writing and numeracy skills indicated by the following levels. A description of what each level entails is provided in Section 2.3.1 Language, Literacy and Numeracy.</w:t>
            </w:r>
          </w:p>
        </w:tc>
      </w:tr>
      <w:tr w:rsidTr="004A2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Reading</w:t>
            </w:r>
          </w:p>
        </w:tc>
        <w:tc>
          <w:tcPr>
            <w:tcW w:w="81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5</w:t>
            </w:r>
          </w:p>
        </w:tc>
        <w:tc>
          <w:tcPr>
            <w:tcW w:w="99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Writing</w:t>
            </w:r>
          </w:p>
        </w:tc>
        <w:tc>
          <w:tcPr>
            <w:tcW w:w="90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5</w:t>
            </w:r>
          </w:p>
        </w:tc>
        <w:tc>
          <w:tcPr>
            <w:tcW w:w="12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Numeracy</w:t>
            </w:r>
          </w:p>
        </w:tc>
        <w:tc>
          <w:tcPr>
            <w:tcW w:w="72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t>5</w:t>
            </w:r>
          </w:p>
        </w:tc>
      </w:tr>
    </w:tbl>
    <w:p w:rsidR="00000000" w:rsidRPr="006F5E9D" w:rsidP="006F5E9D">
      <w:pPr>
        <w:pStyle w:val="BodyText"/>
      </w:pPr>
    </w:p>
    <w:p w:rsidR="00000000" w:rsidRPr="006F5E9D" w:rsidP="006F5E9D">
      <w:pPr>
        <w:pStyle w:val="AllowPageBreak"/>
      </w:pPr>
    </w:p>
    <w:p w:rsidR="00000000" w:rsidRPr="006F5E9D" w:rsidP="006F5E9D">
      <w:pPr>
        <w:pStyle w:val="Heading1"/>
      </w:pPr>
      <w:bookmarkStart w:id="6" w:name="O_471354"/>
      <w:bookmarkEnd w:id="6"/>
      <w:r w:rsidRPr="006F5E9D">
        <w:t>Employability Skills Information</w:t>
      </w:r>
    </w:p>
    <w:tbl>
      <w:tblPr>
        <w:tblW w:w="0" w:type="auto"/>
        <w:tblLayout w:type="fixed"/>
        <w:tblCellMar>
          <w:left w:w="62" w:type="dxa"/>
          <w:right w:w="62" w:type="dxa"/>
        </w:tblCellMar>
        <w:tblLook w:val="0000"/>
      </w:tblPr>
      <w:tblGrid>
        <w:gridCol w:w="2700"/>
        <w:gridCol w:w="5760"/>
      </w:tblGrid>
      <w:tr w:rsidTr="004A2B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rPr>
                <w:rStyle w:val="SpecialBold"/>
              </w:rPr>
              <w:t xml:space="preserve">5) </w:t>
            </w:r>
          </w:p>
        </w:tc>
      </w:tr>
      <w:tr w:rsidTr="004A2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t xml:space="preserve">The required outcomes described in this unit of competency contain applicable facets of Employability Skills. The Employability Skills Summary </w:t>
            </w:r>
            <w:r w:rsidRPr="006F5E9D">
              <w:t>of the qualification in which this unit of competency is packaged will assist in identifying Employability Skill requirements.</w:t>
            </w:r>
          </w:p>
        </w:tc>
      </w:tr>
    </w:tbl>
    <w:p w:rsidR="00000000" w:rsidRPr="006F5E9D" w:rsidP="006F5E9D">
      <w:pPr>
        <w:pStyle w:val="BodyText"/>
      </w:pPr>
    </w:p>
    <w:p w:rsidR="00000000" w:rsidRPr="006F5E9D" w:rsidP="006F5E9D">
      <w:pPr>
        <w:pStyle w:val="AllowPageBreak"/>
      </w:pPr>
    </w:p>
    <w:p w:rsidR="00000000" w:rsidRPr="006F5E9D" w:rsidP="006F5E9D">
      <w:pPr>
        <w:pStyle w:val="Heading1"/>
      </w:pPr>
      <w:bookmarkStart w:id="7" w:name="O_471353"/>
      <w:bookmarkEnd w:id="7"/>
      <w:r w:rsidRPr="006F5E9D">
        <w:t>Elements and Performance Criteria Pre-Content</w:t>
      </w:r>
    </w:p>
    <w:tbl>
      <w:tblPr>
        <w:tblW w:w="0" w:type="auto"/>
        <w:tblLayout w:type="fixed"/>
        <w:tblCellMar>
          <w:left w:w="62" w:type="dxa"/>
          <w:right w:w="62" w:type="dxa"/>
        </w:tblCellMar>
        <w:tblLook w:val="0000"/>
      </w:tblPr>
      <w:tblGrid>
        <w:gridCol w:w="2700"/>
        <w:gridCol w:w="5760"/>
      </w:tblGrid>
      <w:tr w:rsidTr="004A2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rPr>
                <w:rStyle w:val="SpecialBold"/>
              </w:rPr>
              <w:t>6)</w:t>
            </w:r>
            <w:r w:rsidRPr="006F5E9D">
              <w:t xml:space="preserve"> Elements describe the essential outcomes of a competency stan</w:t>
            </w:r>
            <w:r w:rsidRPr="006F5E9D">
              <w:t>dard unit</w:t>
            </w:r>
          </w:p>
        </w:tc>
        <w:tc>
          <w:tcPr>
            <w:tcW w:w="576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t>Performance Criteria describe the required performance needed to demonstrate achievement of the element. Assessment of performance is to be consistent with the Evidence Guide.</w:t>
            </w:r>
          </w:p>
        </w:tc>
      </w:tr>
    </w:tbl>
    <w:p w:rsidR="00000000" w:rsidRPr="006F5E9D" w:rsidP="006F5E9D">
      <w:pPr>
        <w:pStyle w:val="BodyText"/>
      </w:pPr>
    </w:p>
    <w:p w:rsidR="00000000" w:rsidRPr="006F5E9D" w:rsidP="006F5E9D">
      <w:pPr>
        <w:pStyle w:val="AllowPageBreak"/>
      </w:pPr>
    </w:p>
    <w:p w:rsidR="00000000" w:rsidRPr="006F5E9D" w:rsidP="006F5E9D">
      <w:pPr>
        <w:pStyle w:val="Heading1"/>
      </w:pPr>
      <w:bookmarkStart w:id="8" w:name="O_471352"/>
      <w:bookmarkEnd w:id="8"/>
      <w:r w:rsidRPr="006F5E9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A2B2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rPr>
                <w:rStyle w:val="SpecialBold"/>
              </w:rPr>
              <w:t>PERFORMANCE CRITERIA</w:t>
            </w:r>
          </w:p>
        </w:tc>
      </w:tr>
      <w:tr w:rsidTr="004A2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1</w:t>
            </w:r>
          </w:p>
        </w:tc>
        <w:tc>
          <w:tcPr>
            <w:tcW w:w="2296" w:type="dxa"/>
            <w:vMerge w:val="restart"/>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Plan and prepare</w:t>
            </w:r>
          </w:p>
        </w:tc>
        <w:tc>
          <w:tcPr>
            <w:tcW w:w="90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1.1</w:t>
            </w:r>
          </w:p>
        </w:tc>
        <w:tc>
          <w:tcPr>
            <w:tcW w:w="48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Tuning requirements are identified from relevant personnel and documentation</w:t>
            </w:r>
          </w:p>
        </w:tc>
      </w:tr>
      <w:tr w:rsidTr="004A2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1.2</w:t>
            </w:r>
          </w:p>
        </w:tc>
        <w:tc>
          <w:tcPr>
            <w:tcW w:w="48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Resource and equipment requirements are identified and obtained</w:t>
            </w:r>
          </w:p>
        </w:tc>
      </w:tr>
      <w:tr w:rsidTr="004A2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1.3</w:t>
            </w:r>
          </w:p>
        </w:tc>
        <w:tc>
          <w:tcPr>
            <w:tcW w:w="48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Tuning program is coordinated with the appropriate personnel and plant availability, capability and limitations are identified</w:t>
            </w:r>
          </w:p>
        </w:tc>
      </w:tr>
      <w:tr w:rsidTr="004A2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1.4</w:t>
            </w:r>
          </w:p>
        </w:tc>
        <w:tc>
          <w:tcPr>
            <w:tcW w:w="48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Testing and monitoring equipment are connected in accordance with test requirements and plant integrity</w:t>
            </w:r>
          </w:p>
        </w:tc>
      </w:tr>
      <w:tr w:rsidTr="004A2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1.5</w:t>
            </w:r>
          </w:p>
        </w:tc>
        <w:tc>
          <w:tcPr>
            <w:tcW w:w="48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Plant coord</w:t>
            </w:r>
            <w:r w:rsidRPr="006F5E9D">
              <w:t>inated to initial operating state ready for testing in accordance with statutory, industry and enterprise/site procedure standards</w:t>
            </w:r>
          </w:p>
        </w:tc>
      </w:tr>
      <w:tr w:rsidTr="004A2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1.6</w:t>
            </w:r>
          </w:p>
        </w:tc>
        <w:tc>
          <w:tcPr>
            <w:tcW w:w="48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Test procedure and recording documentation are prepared</w:t>
            </w:r>
          </w:p>
        </w:tc>
      </w:tr>
      <w:tr w:rsidTr="004A2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1.7</w:t>
            </w:r>
          </w:p>
        </w:tc>
        <w:tc>
          <w:tcPr>
            <w:tcW w:w="48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Test equipment is calibrate</w:t>
            </w:r>
            <w:r w:rsidRPr="006F5E9D">
              <w:t>d in accordance with relevant standards and/or manufacturer’s procedures</w:t>
            </w:r>
          </w:p>
        </w:tc>
      </w:tr>
      <w:tr w:rsidTr="004A2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1.8</w:t>
            </w:r>
          </w:p>
        </w:tc>
        <w:tc>
          <w:tcPr>
            <w:tcW w:w="48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 xml:space="preserve">Where appropriate, the teams and individuals roles and responsibilities within the team are identified and, where required, assist in the provision of the on-the-job training </w:t>
            </w:r>
          </w:p>
        </w:tc>
      </w:tr>
      <w:tr w:rsidTr="004A2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2</w:t>
            </w:r>
          </w:p>
        </w:tc>
        <w:tc>
          <w:tcPr>
            <w:tcW w:w="2296" w:type="dxa"/>
            <w:vMerge w:val="restart"/>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Test plant and implement tuning</w:t>
            </w:r>
          </w:p>
        </w:tc>
        <w:tc>
          <w:tcPr>
            <w:tcW w:w="90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2.1</w:t>
            </w:r>
          </w:p>
        </w:tc>
        <w:tc>
          <w:tcPr>
            <w:tcW w:w="48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Field instrumentation and control elements checked for calibration and correct operation in accordance with enterprise and manufacturer procedures</w:t>
            </w:r>
          </w:p>
        </w:tc>
      </w:tr>
      <w:tr w:rsidTr="004A2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2.2</w:t>
            </w:r>
          </w:p>
        </w:tc>
        <w:tc>
          <w:tcPr>
            <w:tcW w:w="48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Testing and tuning is performed in accordance with tuning program, variations are assessed and accommodated to enable test objectives to be met</w:t>
            </w:r>
          </w:p>
        </w:tc>
      </w:tr>
      <w:tr w:rsidTr="004A2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2.3</w:t>
            </w:r>
          </w:p>
        </w:tc>
        <w:tc>
          <w:tcPr>
            <w:tcW w:w="48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Results are analysed with reference to desired outcomes and new settings are determined</w:t>
            </w:r>
          </w:p>
        </w:tc>
      </w:tr>
      <w:tr w:rsidTr="004A2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2.4</w:t>
            </w:r>
          </w:p>
        </w:tc>
        <w:tc>
          <w:tcPr>
            <w:tcW w:w="48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Accuracy o</w:t>
            </w:r>
            <w:r w:rsidRPr="006F5E9D">
              <w:t>f test results is assessed in analysis of test data and corrections made as required</w:t>
            </w:r>
          </w:p>
        </w:tc>
      </w:tr>
      <w:tr w:rsidTr="004A2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2.5</w:t>
            </w:r>
          </w:p>
        </w:tc>
        <w:tc>
          <w:tcPr>
            <w:tcW w:w="48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Plant is retuned to achieve desired outcomes</w:t>
            </w:r>
          </w:p>
        </w:tc>
      </w:tr>
      <w:tr w:rsidTr="004A2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3</w:t>
            </w:r>
          </w:p>
        </w:tc>
        <w:tc>
          <w:tcPr>
            <w:tcW w:w="2296" w:type="dxa"/>
            <w:vMerge w:val="restart"/>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Complete documentation</w:t>
            </w:r>
          </w:p>
        </w:tc>
        <w:tc>
          <w:tcPr>
            <w:tcW w:w="90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3.1</w:t>
            </w:r>
          </w:p>
        </w:tc>
        <w:tc>
          <w:tcPr>
            <w:tcW w:w="48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All relevant records and documentation are updated and retained in accordance with enterprise/site requirements</w:t>
            </w:r>
          </w:p>
        </w:tc>
      </w:tr>
      <w:tr w:rsidTr="004A2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3.2</w:t>
            </w:r>
          </w:p>
        </w:tc>
        <w:tc>
          <w:tcPr>
            <w:tcW w:w="48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Nominated changes to equipment operational settings are recommended to appropriate personnel</w:t>
            </w:r>
          </w:p>
        </w:tc>
      </w:tr>
      <w:tr w:rsidTr="004A2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t>3.3</w:t>
            </w:r>
          </w:p>
        </w:tc>
        <w:tc>
          <w:tcPr>
            <w:tcW w:w="486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t>Implementation of recommendations are monitored to ensure combustion efficiency</w:t>
            </w:r>
          </w:p>
        </w:tc>
      </w:tr>
    </w:tbl>
    <w:p w:rsidR="00000000" w:rsidRPr="006F5E9D" w:rsidP="006F5E9D">
      <w:pPr>
        <w:pStyle w:val="BodyText"/>
      </w:pPr>
    </w:p>
    <w:p w:rsidR="00000000" w:rsidRPr="006F5E9D" w:rsidP="006F5E9D">
      <w:pPr>
        <w:pStyle w:val="AllowPageBreak"/>
      </w:pPr>
    </w:p>
    <w:p w:rsidR="00000000" w:rsidRPr="006F5E9D" w:rsidP="006F5E9D">
      <w:pPr>
        <w:pStyle w:val="Heading1"/>
      </w:pPr>
      <w:bookmarkStart w:id="9" w:name="O_471360"/>
      <w:bookmarkEnd w:id="9"/>
      <w:r w:rsidRPr="006F5E9D">
        <w:t>Required Skills and Knowledge</w:t>
      </w:r>
    </w:p>
    <w:tbl>
      <w:tblPr>
        <w:tblW w:w="0" w:type="auto"/>
        <w:tblLayout w:type="fixed"/>
        <w:tblCellMar>
          <w:left w:w="62" w:type="dxa"/>
          <w:right w:w="62" w:type="dxa"/>
        </w:tblCellMar>
        <w:tblLook w:val="0000"/>
      </w:tblPr>
      <w:tblGrid>
        <w:gridCol w:w="8460"/>
      </w:tblGrid>
      <w:tr w:rsidTr="004A2B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rPr>
                <w:rStyle w:val="SpecialBold"/>
              </w:rPr>
              <w:t>REQUIRED SKILLS AND KNOWLEDGE</w:t>
            </w:r>
          </w:p>
        </w:tc>
      </w:tr>
      <w:tr w:rsidTr="004A2B2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rPr>
                <w:rStyle w:val="SpecialBold"/>
              </w:rPr>
              <w:t>8)</w:t>
            </w:r>
            <w:r w:rsidRPr="006F5E9D">
              <w:t xml:space="preserve"> This describes the essential skills and knowledge and their level, required for this unit.</w:t>
            </w:r>
          </w:p>
          <w:p w:rsidR="00000000" w:rsidRPr="006F5E9D" w:rsidP="006F5E9D">
            <w:pPr>
              <w:pStyle w:val="BodyText"/>
            </w:pPr>
            <w:r w:rsidRPr="006F5E9D">
              <w:t>Ev</w:t>
            </w:r>
            <w:r w:rsidRPr="006F5E9D">
              <w:t>idence shall show that knowledge has been acquired tuning process plants and equipment.</w:t>
            </w:r>
          </w:p>
          <w:p w:rsidR="00000000" w:rsidRPr="006F5E9D" w:rsidP="006F5E9D">
            <w:pPr>
              <w:pStyle w:val="BodyText"/>
            </w:pPr>
            <w:r w:rsidRPr="006F5E9D">
              <w:t>All knowledge and skills detailed in this unit should be contextualised to current industry practices and technologies.</w:t>
            </w:r>
          </w:p>
          <w:p w:rsidR="00000000" w:rsidRPr="006F5E9D" w:rsidP="006F5E9D">
            <w:pPr>
              <w:pStyle w:val="BodyText"/>
            </w:pPr>
            <w:r w:rsidRPr="006F5E9D">
              <w:t>The extent of the Essential Knowledge and Associ</w:t>
            </w:r>
            <w:r w:rsidRPr="006F5E9D">
              <w:t>ated Skills required follows:</w:t>
            </w:r>
          </w:p>
          <w:p w:rsidR="00000000" w:rsidRPr="006F5E9D" w:rsidP="006F5E9D">
            <w:pPr>
              <w:pStyle w:val="BodyText"/>
            </w:pPr>
            <w:r w:rsidRPr="006F5E9D">
              <w:t>KS01-PO511B</w:t>
            </w:r>
            <w:r w:rsidRPr="006F5E9D">
              <w:tab/>
              <w:t xml:space="preserve">  Tune process plant and equipment</w:t>
            </w:r>
          </w:p>
          <w:p w:rsidR="00000000" w:rsidRPr="006F5E9D" w:rsidP="006F5E9D">
            <w:pPr>
              <w:pStyle w:val="BodyText"/>
            </w:pPr>
            <w:r w:rsidRPr="006F5E9D">
              <w:t>T1  Evidence shall show that knowledge has been acquired for safe working practices of:</w:t>
            </w:r>
          </w:p>
          <w:p w:rsidR="00000000" w:rsidRPr="006F5E9D" w:rsidP="006F5E9D">
            <w:pPr>
              <w:pStyle w:val="ListBullet"/>
            </w:pPr>
            <w:r w:rsidRPr="006F5E9D">
              <w:t>Relevant environmental, occupational health and safety legislation and  regulations</w:t>
            </w:r>
          </w:p>
          <w:p w:rsidR="00000000" w:rsidRPr="006F5E9D" w:rsidP="006F5E9D">
            <w:pPr>
              <w:pStyle w:val="ListBullet"/>
            </w:pPr>
            <w:r w:rsidRPr="006F5E9D">
              <w:t>Enterprise procedures</w:t>
            </w:r>
          </w:p>
          <w:p w:rsidR="00000000" w:rsidRPr="006F5E9D" w:rsidP="006F5E9D">
            <w:pPr>
              <w:pStyle w:val="ListBullet"/>
            </w:pPr>
            <w:r w:rsidRPr="006F5E9D">
              <w:t>Plant drawings and manufacturers manuals</w:t>
            </w:r>
          </w:p>
          <w:p w:rsidR="00000000" w:rsidRPr="006F5E9D" w:rsidP="006F5E9D">
            <w:pPr>
              <w:pStyle w:val="ListBullet"/>
            </w:pPr>
            <w:r w:rsidRPr="006F5E9D">
              <w:t>Introduction to and typical arrangements of power production plant</w:t>
            </w:r>
          </w:p>
          <w:p w:rsidR="00000000" w:rsidRPr="006F5E9D" w:rsidP="006F5E9D">
            <w:pPr>
              <w:pStyle w:val="ListBullet"/>
            </w:pPr>
            <w:r w:rsidRPr="006F5E9D">
              <w:t>Relevant plant and equipment, its location and operating parameters</w:t>
            </w:r>
          </w:p>
          <w:p w:rsidR="00000000" w:rsidRPr="006F5E9D" w:rsidP="006F5E9D">
            <w:pPr>
              <w:pStyle w:val="ListBullet"/>
            </w:pPr>
            <w:r w:rsidRPr="006F5E9D">
              <w:t>Valve, damper and actuator types and characteristics</w:t>
            </w:r>
          </w:p>
          <w:p w:rsidR="00000000" w:rsidRPr="006F5E9D" w:rsidP="006F5E9D">
            <w:pPr>
              <w:pStyle w:val="ListBullet"/>
            </w:pPr>
            <w:r w:rsidRPr="006F5E9D">
              <w:t>Elect</w:t>
            </w:r>
            <w:r w:rsidRPr="006F5E9D">
              <w:t>rical principles</w:t>
            </w:r>
          </w:p>
          <w:p w:rsidR="00000000" w:rsidRPr="006F5E9D" w:rsidP="006F5E9D">
            <w:pPr>
              <w:pStyle w:val="ListBullet"/>
            </w:pPr>
            <w:r w:rsidRPr="006F5E9D">
              <w:t>Process control principles</w:t>
            </w:r>
          </w:p>
          <w:p w:rsidR="00000000" w:rsidRPr="006F5E9D" w:rsidP="006F5E9D">
            <w:pPr>
              <w:pStyle w:val="ListBullet"/>
            </w:pPr>
            <w:r w:rsidRPr="006F5E9D">
              <w:t>Plant process control systems</w:t>
            </w:r>
          </w:p>
          <w:p w:rsidR="00000000" w:rsidRPr="006F5E9D" w:rsidP="006F5E9D">
            <w:pPr>
              <w:pStyle w:val="ListBullet"/>
            </w:pPr>
            <w:r w:rsidRPr="006F5E9D">
              <w:t>Interaction between multiple control loops</w:t>
            </w:r>
          </w:p>
          <w:p w:rsidR="00000000" w:rsidRPr="006F5E9D" w:rsidP="006F5E9D">
            <w:pPr>
              <w:pStyle w:val="ListBullet"/>
            </w:pPr>
            <w:r w:rsidRPr="006F5E9D">
              <w:t>Instrumentation principles and practices</w:t>
            </w:r>
          </w:p>
          <w:p w:rsidR="00000000" w:rsidRPr="006F5E9D" w:rsidP="006F5E9D">
            <w:pPr>
              <w:pStyle w:val="ListBullet"/>
            </w:pPr>
            <w:r w:rsidRPr="006F5E9D">
              <w:t>Instrument calibration techniques</w:t>
            </w:r>
          </w:p>
          <w:p w:rsidR="00000000" w:rsidRPr="006F5E9D" w:rsidP="006F5E9D">
            <w:pPr>
              <w:pStyle w:val="ListBullet"/>
            </w:pPr>
            <w:r w:rsidRPr="006F5E9D">
              <w:t>Enterprise recording procedures</w:t>
            </w:r>
          </w:p>
          <w:p w:rsidR="00000000" w:rsidRPr="006F5E9D" w:rsidP="006F5E9D">
            <w:pPr>
              <w:pStyle w:val="ListBullet"/>
            </w:pPr>
            <w:r w:rsidRPr="006F5E9D">
              <w:t>Plant processes and process dyna</w:t>
            </w:r>
            <w:r w:rsidRPr="006F5E9D">
              <w:t>mics</w:t>
            </w:r>
          </w:p>
          <w:p w:rsidR="00000000" w:rsidRPr="006F5E9D" w:rsidP="006F5E9D">
            <w:pPr>
              <w:pStyle w:val="ListBullet"/>
            </w:pPr>
            <w:r w:rsidRPr="006F5E9D">
              <w:t>Plant capability limitations</w:t>
            </w:r>
          </w:p>
          <w:p w:rsidR="00000000" w:rsidRPr="006F5E9D" w:rsidP="006F5E9D">
            <w:pPr>
              <w:pStyle w:val="ListBullet"/>
            </w:pPr>
            <w:r w:rsidRPr="006F5E9D">
              <w:t>Tuning processes and techniques</w:t>
            </w:r>
          </w:p>
          <w:p w:rsidR="00000000" w:rsidRPr="006F5E9D" w:rsidP="006F5E9D">
            <w:pPr>
              <w:pStyle w:val="ListBullet"/>
            </w:pPr>
            <w:r w:rsidRPr="006F5E9D">
              <w:t xml:space="preserve">Tuning algorithms </w:t>
            </w:r>
          </w:p>
          <w:p w:rsidR="00000000" w:rsidRPr="006F5E9D" w:rsidP="006F5E9D">
            <w:pPr>
              <w:pStyle w:val="BodyText"/>
            </w:pPr>
            <w:r w:rsidRPr="006F5E9D">
              <w:t>T2  Specific skills needed to achieve the performance criteria:</w:t>
            </w:r>
          </w:p>
          <w:p w:rsidR="00000000" w:rsidRPr="006F5E9D" w:rsidP="006F5E9D">
            <w:pPr>
              <w:pStyle w:val="ListBullet"/>
            </w:pPr>
            <w:r w:rsidRPr="006F5E9D">
              <w:t>Interpret plant drawings and manufacturers manuals</w:t>
            </w:r>
          </w:p>
          <w:p w:rsidR="00000000" w:rsidRPr="006F5E9D" w:rsidP="006F5E9D">
            <w:pPr>
              <w:pStyle w:val="ListBullet"/>
            </w:pPr>
            <w:r w:rsidRPr="006F5E9D">
              <w:t>Apply relevant statutory legislation</w:t>
            </w:r>
          </w:p>
          <w:p w:rsidR="00000000" w:rsidRPr="006F5E9D" w:rsidP="006F5E9D">
            <w:pPr>
              <w:pStyle w:val="ListBullet"/>
            </w:pPr>
            <w:r w:rsidRPr="006F5E9D">
              <w:t>Apply relevant enterprise/site safety procedures</w:t>
            </w:r>
          </w:p>
          <w:p w:rsidR="00000000" w:rsidRPr="006F5E9D" w:rsidP="006F5E9D">
            <w:pPr>
              <w:pStyle w:val="ListBullet"/>
            </w:pPr>
            <w:r w:rsidRPr="006F5E9D">
              <w:t>Apply enterprise/site emergency procedures and techniques</w:t>
            </w:r>
          </w:p>
          <w:p w:rsidR="00000000" w:rsidRPr="006F5E9D" w:rsidP="006F5E9D">
            <w:pPr>
              <w:pStyle w:val="ListBullet"/>
            </w:pPr>
            <w:r w:rsidRPr="006F5E9D">
              <w:t>Apply enterprise recording procedures</w:t>
            </w:r>
          </w:p>
          <w:p w:rsidR="00000000" w:rsidRPr="006F5E9D" w:rsidP="006F5E9D">
            <w:pPr>
              <w:pStyle w:val="ListBullet"/>
            </w:pPr>
            <w:r w:rsidRPr="006F5E9D">
              <w:t>Locate relevant plant and equipment</w:t>
            </w:r>
          </w:p>
          <w:p w:rsidR="00000000" w:rsidRPr="006F5E9D" w:rsidP="006F5E9D">
            <w:pPr>
              <w:pStyle w:val="ListBullet"/>
            </w:pPr>
            <w:r w:rsidRPr="006F5E9D">
              <w:t>Operate plant within design parameters</w:t>
            </w:r>
          </w:p>
          <w:p w:rsidR="00000000" w:rsidRPr="006F5E9D" w:rsidP="006F5E9D">
            <w:pPr>
              <w:pStyle w:val="ListBullet"/>
            </w:pPr>
            <w:r w:rsidRPr="006F5E9D">
              <w:t>Identify plant status</w:t>
            </w:r>
          </w:p>
          <w:p w:rsidR="00000000" w:rsidRPr="006F5E9D" w:rsidP="006F5E9D">
            <w:pPr>
              <w:pStyle w:val="ListBullet"/>
            </w:pPr>
            <w:r w:rsidRPr="006F5E9D">
              <w:t>Use enterprise</w:t>
            </w:r>
            <w:r w:rsidRPr="006F5E9D">
              <w:t xml:space="preserve"> documentation procedures</w:t>
            </w:r>
          </w:p>
          <w:p w:rsidR="00000000" w:rsidRPr="006F5E9D" w:rsidP="006F5E9D">
            <w:pPr>
              <w:pStyle w:val="ListBullet"/>
            </w:pPr>
            <w:r w:rsidRPr="006F5E9D">
              <w:t>Solve problems</w:t>
            </w:r>
          </w:p>
          <w:p w:rsidR="00000000" w:rsidRPr="006F5E9D" w:rsidP="006F5E9D">
            <w:pPr>
              <w:pStyle w:val="ListBullet"/>
            </w:pPr>
            <w:r w:rsidRPr="006F5E9D">
              <w:t>Set-up and use test/tuning equipment</w:t>
            </w:r>
          </w:p>
          <w:p w:rsidR="00000000" w:rsidRPr="006F5E9D" w:rsidP="006F5E9D">
            <w:pPr>
              <w:pStyle w:val="ListBullet"/>
            </w:pPr>
            <w:r w:rsidRPr="006F5E9D">
              <w:t>Coordinate testing operations</w:t>
            </w:r>
          </w:p>
          <w:p w:rsidR="00000000" w:rsidRPr="006F5E9D" w:rsidP="006F5E9D">
            <w:pPr>
              <w:pStyle w:val="ListBullet"/>
            </w:pPr>
            <w:r w:rsidRPr="006F5E9D">
              <w:t>Communicate effectively</w:t>
            </w:r>
          </w:p>
          <w:p w:rsidR="00000000" w:rsidRPr="006F5E9D" w:rsidP="006F5E9D">
            <w:pPr>
              <w:pStyle w:val="ListBullet"/>
            </w:pPr>
            <w:r w:rsidRPr="006F5E9D">
              <w:t>Prepare engineering programmes/ procedures/reports</w:t>
            </w:r>
          </w:p>
          <w:p w:rsidR="00000000" w:rsidRPr="006F5E9D" w:rsidP="006F5E9D">
            <w:pPr>
              <w:pStyle w:val="ListBullet"/>
            </w:pPr>
            <w:r w:rsidRPr="006F5E9D">
              <w:t xml:space="preserve">Analyse test results and translate to tuning settings for optimal system </w:t>
            </w:r>
            <w:r w:rsidRPr="006F5E9D">
              <w:t>response</w:t>
            </w:r>
          </w:p>
          <w:p w:rsidR="00000000" w:rsidRPr="006F5E9D" w:rsidP="006F5E9D">
            <w:pPr>
              <w:pStyle w:val="ListBullet"/>
            </w:pPr>
            <w:r w:rsidRPr="006F5E9D">
              <w:t>Apply testing and tuning techniques</w:t>
            </w:r>
          </w:p>
          <w:p w:rsidR="00000000" w:rsidRPr="006F5E9D" w:rsidP="006F5E9D">
            <w:pPr>
              <w:pStyle w:val="ListBullet"/>
            </w:pPr>
            <w:r w:rsidRPr="006F5E9D">
              <w:t>Apply data analysis techniques and tools.</w:t>
            </w:r>
          </w:p>
        </w:tc>
      </w:tr>
    </w:tbl>
    <w:p w:rsidR="00000000" w:rsidRPr="006F5E9D" w:rsidP="006F5E9D">
      <w:pPr>
        <w:pStyle w:val="BodyText"/>
      </w:pPr>
    </w:p>
    <w:p w:rsidR="00000000" w:rsidRPr="006F5E9D" w:rsidP="006F5E9D">
      <w:pPr>
        <w:pStyle w:val="AllowPageBreak"/>
      </w:pPr>
    </w:p>
    <w:p w:rsidR="00000000" w:rsidRPr="006F5E9D" w:rsidP="006F5E9D">
      <w:pPr>
        <w:pStyle w:val="Heading1"/>
      </w:pPr>
      <w:bookmarkStart w:id="10" w:name="O_471355"/>
      <w:bookmarkEnd w:id="10"/>
      <w:r w:rsidRPr="006F5E9D">
        <w:t>Evidence Guide</w:t>
      </w:r>
    </w:p>
    <w:tbl>
      <w:tblPr>
        <w:tblW w:w="0" w:type="auto"/>
        <w:tblLayout w:type="fixed"/>
        <w:tblCellMar>
          <w:left w:w="62" w:type="dxa"/>
          <w:right w:w="62" w:type="dxa"/>
        </w:tblCellMar>
        <w:tblLook w:val="0000"/>
      </w:tblPr>
      <w:tblGrid>
        <w:gridCol w:w="8460"/>
      </w:tblGrid>
      <w:tr w:rsidTr="004A2B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rPr>
                <w:rStyle w:val="SpecialBold"/>
              </w:rPr>
              <w:t>EVIDENCE GUIDE</w:t>
            </w:r>
          </w:p>
        </w:tc>
      </w:tr>
      <w:tr w:rsidTr="004A2B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rPr>
                <w:rStyle w:val="SpecialBold"/>
              </w:rPr>
              <w:t>9)</w:t>
            </w:r>
            <w:r w:rsidRPr="006F5E9D">
              <w:t xml:space="preserve"> This provides essential advice for assessment of the competency standard unit and must be read </w:t>
            </w:r>
            <w:r w:rsidRPr="006F5E9D">
              <w:t>in conjunction with the Performance Criteria and the range statement of the competency standard unit and the Training Package Assessment Guidelines.</w:t>
            </w:r>
          </w:p>
          <w:p w:rsidR="00000000" w:rsidRPr="006F5E9D" w:rsidP="006F5E9D">
            <w:pPr>
              <w:pStyle w:val="BodyText"/>
            </w:pPr>
            <w:r w:rsidRPr="006F5E9D">
              <w:t>The Evidence Guide forms an integral part of this Competency Standard Unit and shall be used in conjunction</w:t>
            </w:r>
            <w:r w:rsidRPr="006F5E9D">
              <w:t xml:space="preserve"> with all components parts of this unit and, performed in accordance with the Assessment Guidelines of this Training Package.</w:t>
            </w:r>
          </w:p>
        </w:tc>
      </w:tr>
    </w:tbl>
    <w:p w:rsidR="00000000" w:rsidRPr="006F5E9D" w:rsidP="006F5E9D">
      <w:pPr>
        <w:pStyle w:val="BodyText"/>
      </w:pPr>
    </w:p>
    <w:tbl>
      <w:tblPr>
        <w:tblW w:w="0" w:type="auto"/>
        <w:tblLayout w:type="fixed"/>
        <w:tblCellMar>
          <w:left w:w="62" w:type="dxa"/>
          <w:right w:w="62" w:type="dxa"/>
        </w:tblCellMar>
        <w:tblLook w:val="0000"/>
      </w:tblPr>
      <w:tblGrid>
        <w:gridCol w:w="1890"/>
        <w:gridCol w:w="6570"/>
      </w:tblGrid>
      <w:tr w:rsidTr="004A2B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rPr>
                <w:rStyle w:val="SpecialBold"/>
              </w:rPr>
              <w:t>9.1)</w:t>
            </w:r>
          </w:p>
        </w:tc>
      </w:tr>
      <w:tr w:rsidTr="004A2B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t>Longitude competency development approaches to assessment, such as Profiling, require data to be reliably gathered in a form that can be consistently interpreted over time. This approach is best utilised in Apprenticeship programs and reduces assessment in</w:t>
            </w:r>
            <w:r w:rsidRPr="006F5E9D">
              <w:t>tervention. It is the Industry’s preferred model for apprenticeships. However, where summative (or final) assessment is used it is to include the application of the competency in the normal work environment or, at a minimum, the application of the competen</w:t>
            </w:r>
            <w:r w:rsidRPr="006F5E9D">
              <w:t>cy in a realistically simulated work environment. It is recognised that, in some circumstances, assessment in part or full can occur outside the workplace. However, it must be in accord with Industry and regulatory policy.</w:t>
            </w:r>
          </w:p>
          <w:p w:rsidR="00000000" w:rsidRPr="006F5E9D" w:rsidP="006F5E9D">
            <w:pPr>
              <w:pStyle w:val="BodyText"/>
            </w:pPr>
            <w:r w:rsidRPr="006F5E9D">
              <w:t>Methods chosen for a particular a</w:t>
            </w:r>
            <w:r w:rsidRPr="006F5E9D">
              <w:t>ssessment will be influenced by various factors. These include the extent of the assessment, the most effective locations for the assessment activities to take place, access to physical resources, additional safety measures that may be required and the cri</w:t>
            </w:r>
            <w:r w:rsidRPr="006F5E9D">
              <w:t>tical nature of the competencies being assessed.</w:t>
            </w:r>
          </w:p>
          <w:p w:rsidR="00000000" w:rsidRPr="006F5E9D" w:rsidP="006F5E9D">
            <w:pPr>
              <w:pStyle w:val="BodyText"/>
            </w:pPr>
            <w:r w:rsidRPr="006F5E9D">
              <w:t>The critical safety nature of working with electricity, electrical equipment, gas or any other hazardous substance/material carries risk in deeming a person competent. Hence, sources of evidence need to be ‘</w:t>
            </w:r>
            <w:r w:rsidRPr="006F5E9D">
              <w:t>rich’ in nature so as to minimise error in judgment.</w:t>
            </w:r>
          </w:p>
          <w:p w:rsidR="00000000" w:rsidRPr="006F5E9D" w:rsidP="006F5E9D">
            <w:pPr>
              <w:pStyle w:val="BodyText"/>
            </w:pPr>
            <w:r w:rsidRPr="006F5E9D">
              <w:t>Activities associated with normal every day work have a bearing on the decision as to how much and how detailed the data gathered will contribute to its ‘richness’. Some skills are more critical to safet</w:t>
            </w:r>
            <w:r w:rsidRPr="006F5E9D">
              <w:t>y and operational requirements while the same skills may be more or less frequently practised. These points are raised for the assessors to consider when choosing an assessment method and developing assessment instruments. Sample assessment instruments are</w:t>
            </w:r>
            <w:r w:rsidRPr="006F5E9D">
              <w:t xml:space="preserve"> included in the Assessment Guidelines of this Training Package.</w:t>
            </w:r>
          </w:p>
        </w:tc>
      </w:tr>
    </w:tbl>
    <w:p w:rsidR="00000000" w:rsidRPr="006F5E9D" w:rsidP="006F5E9D">
      <w:pPr>
        <w:pStyle w:val="BodyText"/>
      </w:pPr>
    </w:p>
    <w:tbl>
      <w:tblPr>
        <w:tblW w:w="0" w:type="auto"/>
        <w:tblLayout w:type="fixed"/>
        <w:tblCellMar>
          <w:left w:w="62" w:type="dxa"/>
          <w:right w:w="62" w:type="dxa"/>
        </w:tblCellMar>
        <w:tblLook w:val="0000"/>
      </w:tblPr>
      <w:tblGrid>
        <w:gridCol w:w="1890"/>
        <w:gridCol w:w="6570"/>
      </w:tblGrid>
      <w:tr w:rsidTr="004A2B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rPr>
                <w:rStyle w:val="SpecialBold"/>
              </w:rPr>
              <w:t>9.2)</w:t>
            </w:r>
          </w:p>
        </w:tc>
      </w:tr>
      <w:tr w:rsidTr="004A2B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t>Before the critical aspects of evidence are considered all pre-requisites shall be met.</w:t>
            </w:r>
          </w:p>
          <w:p w:rsidR="00000000" w:rsidRPr="006F5E9D" w:rsidP="006F5E9D">
            <w:pPr>
              <w:pStyle w:val="BodyText"/>
            </w:pPr>
            <w:r w:rsidRPr="006F5E9D">
              <w:t>Evidence for comp</w:t>
            </w:r>
            <w:r w:rsidRPr="006F5E9D">
              <w:t>etence in this unit shall be considered holistically.  Each element and associated Performance Criteria shall be demonstrated on at least two occasions in accordance with the “Assessment Guidelines – UEP12”.  Evidence shall also comprise:</w:t>
            </w:r>
          </w:p>
          <w:p w:rsidR="00000000" w:rsidRPr="006F5E9D" w:rsidP="006F5E9D">
            <w:pPr>
              <w:pStyle w:val="ListBullet"/>
            </w:pPr>
            <w:r w:rsidRPr="006F5E9D">
              <w:t>A representative</w:t>
            </w:r>
            <w:r w:rsidRPr="006F5E9D">
              <w:t xml:space="preserve"> body of work performance demonstrated within the timeframes typically expected of the discipline, work function and industrial environment. In particular this shall incorporate evidence that shows a candidate is able to:</w:t>
            </w:r>
          </w:p>
          <w:p w:rsidR="00000000" w:rsidRPr="006F5E9D" w:rsidP="006F5E9D">
            <w:pPr>
              <w:pStyle w:val="ListBullet2"/>
            </w:pPr>
            <w:r w:rsidRPr="006F5E9D">
              <w:t>Implement Occupational Health and Safety workplace procedures and practices including the use of risk control measures as specified in the Performance Criteria and Range Statement</w:t>
            </w:r>
          </w:p>
          <w:p w:rsidR="00000000" w:rsidRPr="006F5E9D" w:rsidP="006F5E9D">
            <w:pPr>
              <w:pStyle w:val="ListBullet2"/>
            </w:pPr>
            <w:r w:rsidRPr="006F5E9D">
              <w:t>Apply sustainable energy principles and practices as specified in the Perfor</w:t>
            </w:r>
            <w:r w:rsidRPr="006F5E9D">
              <w:t>mance Criteria and Range Statement</w:t>
            </w:r>
          </w:p>
          <w:p w:rsidR="00000000" w:rsidRPr="006F5E9D" w:rsidP="006F5E9D">
            <w:pPr>
              <w:pStyle w:val="ListBullet2"/>
            </w:pPr>
            <w:r w:rsidRPr="006F5E9D">
              <w:t>Demonstrate an understanding of the essential knowledge and associated skills as described in 6) of this unit</w:t>
            </w:r>
          </w:p>
          <w:p w:rsidR="00000000" w:rsidRPr="006F5E9D" w:rsidP="006F5E9D">
            <w:pPr>
              <w:pStyle w:val="ListBullet2"/>
            </w:pPr>
            <w:r w:rsidRPr="006F5E9D">
              <w:t>Demonstrate an appropriate level of employability skills</w:t>
            </w:r>
          </w:p>
          <w:p w:rsidR="00000000" w:rsidRPr="006F5E9D" w:rsidP="006F5E9D">
            <w:pPr>
              <w:pStyle w:val="ListBullet2"/>
            </w:pPr>
            <w:r w:rsidRPr="006F5E9D">
              <w:t>Conduct work observing the relevant Anti Discriminatio</w:t>
            </w:r>
            <w:r w:rsidRPr="006F5E9D">
              <w:t>n legislation, regulations, polices and workplace procedures</w:t>
            </w:r>
          </w:p>
          <w:p w:rsidR="00000000" w:rsidRPr="006F5E9D" w:rsidP="006F5E9D">
            <w:pPr>
              <w:pStyle w:val="ListBullet"/>
            </w:pPr>
            <w:r w:rsidRPr="006F5E9D">
              <w:t>Demonstrated performance across a representative range of contexts from the prescribed items below:</w:t>
            </w:r>
          </w:p>
          <w:p w:rsidR="00000000" w:rsidRPr="006F5E9D" w:rsidP="006F5E9D">
            <w:pPr>
              <w:pStyle w:val="ListBullet2"/>
            </w:pPr>
            <w:r w:rsidRPr="006F5E9D">
              <w:t>Knowledge and application of relevant sections of: Occupational Health and Safety legislation</w:t>
            </w:r>
            <w:r w:rsidRPr="006F5E9D">
              <w:t>; Statutory legislation; Enterprise/site safety procedures; Enterprise/site emergency procedures</w:t>
            </w:r>
          </w:p>
          <w:p w:rsidR="00000000" w:rsidRPr="006F5E9D" w:rsidP="006F5E9D">
            <w:pPr>
              <w:pStyle w:val="ListBullet2"/>
            </w:pPr>
            <w:r w:rsidRPr="006F5E9D">
              <w:t>Planning for tuning procedures</w:t>
            </w:r>
          </w:p>
          <w:p w:rsidR="00000000" w:rsidRPr="006F5E9D" w:rsidP="006F5E9D">
            <w:pPr>
              <w:pStyle w:val="ListBullet2"/>
            </w:pPr>
            <w:r w:rsidRPr="006F5E9D">
              <w:t>Tuning processes and techniques</w:t>
            </w:r>
          </w:p>
          <w:p w:rsidR="00000000" w:rsidRPr="006F5E9D" w:rsidP="006F5E9D">
            <w:pPr>
              <w:pStyle w:val="ListBullet2"/>
            </w:pPr>
            <w:r w:rsidRPr="006F5E9D">
              <w:t>Testing and monitoring procedures</w:t>
            </w:r>
          </w:p>
          <w:p w:rsidR="00000000" w:rsidRPr="006F5E9D" w:rsidP="006F5E9D">
            <w:pPr>
              <w:pStyle w:val="ListBullet2"/>
            </w:pPr>
            <w:r w:rsidRPr="006F5E9D">
              <w:t>Work completion procedures</w:t>
            </w:r>
          </w:p>
          <w:p w:rsidR="00000000" w:rsidRPr="006F5E9D" w:rsidP="006F5E9D">
            <w:pPr>
              <w:pStyle w:val="ListBullet2"/>
            </w:pPr>
            <w:r w:rsidRPr="006F5E9D">
              <w:t xml:space="preserve">Dealing with an unplanned event by </w:t>
            </w:r>
            <w:r w:rsidRPr="006F5E9D">
              <w:t>drawing on Essential Knowledge and Skills to provide appropriate solutions incorporated in the holistic assessment with the above listed items.</w:t>
            </w:r>
          </w:p>
        </w:tc>
      </w:tr>
    </w:tbl>
    <w:p w:rsidR="00000000" w:rsidRPr="006F5E9D" w:rsidP="006F5E9D">
      <w:pPr>
        <w:pStyle w:val="BodyText"/>
      </w:pPr>
    </w:p>
    <w:tbl>
      <w:tblPr>
        <w:tblW w:w="0" w:type="auto"/>
        <w:tblLayout w:type="fixed"/>
        <w:tblCellMar>
          <w:left w:w="62" w:type="dxa"/>
          <w:right w:w="62" w:type="dxa"/>
        </w:tblCellMar>
        <w:tblLook w:val="0000"/>
      </w:tblPr>
      <w:tblGrid>
        <w:gridCol w:w="1890"/>
        <w:gridCol w:w="6570"/>
      </w:tblGrid>
      <w:tr w:rsidTr="004A2B2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rPr>
                <w:rStyle w:val="SpecialBold"/>
              </w:rPr>
              <w:t>9.3)</w:t>
            </w:r>
          </w:p>
        </w:tc>
      </w:tr>
      <w:tr w:rsidTr="004A2B2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t>This unit should be assessed as it relates to normal work practice using procedures, information and resources typical of a workplace. This should include:</w:t>
            </w:r>
          </w:p>
          <w:p w:rsidR="00000000" w:rsidRPr="006F5E9D" w:rsidP="006F5E9D">
            <w:pPr>
              <w:pStyle w:val="ListBullet"/>
            </w:pPr>
            <w:r w:rsidRPr="006F5E9D">
              <w:t>OHS policy and work procedures and instructions.</w:t>
            </w:r>
          </w:p>
          <w:p w:rsidR="00000000" w:rsidRPr="006F5E9D" w:rsidP="006F5E9D">
            <w:pPr>
              <w:pStyle w:val="ListBullet"/>
            </w:pPr>
            <w:r w:rsidRPr="006F5E9D">
              <w:t>Suitable work environment, facilities, equipment a</w:t>
            </w:r>
            <w:r w:rsidRPr="006F5E9D">
              <w:t>nd materials to undertake actual work as prescribed by this competency standard unit.</w:t>
            </w:r>
          </w:p>
          <w:p w:rsidR="00000000" w:rsidRPr="006F5E9D" w:rsidP="006F5E9D">
            <w:pPr>
              <w:pStyle w:val="BodyText"/>
            </w:pPr>
            <w:r w:rsidRPr="006F5E9D">
              <w:t>Competency Standards should be assessed in the workplace or simulated workplace and under the normal range of workplace conditions.</w:t>
            </w:r>
          </w:p>
          <w:p w:rsidR="00000000" w:rsidRPr="006F5E9D" w:rsidP="006F5E9D">
            <w:pPr>
              <w:pStyle w:val="BodyText"/>
            </w:pPr>
            <w:r w:rsidRPr="006F5E9D">
              <w:t>Assessment of this unit will be supported with documentary evidence, by means of endorsement stating type and application of work.</w:t>
            </w:r>
          </w:p>
          <w:p w:rsidR="00000000" w:rsidRPr="006F5E9D" w:rsidP="006F5E9D">
            <w:pPr>
              <w:pStyle w:val="BodyText"/>
            </w:pPr>
            <w:r w:rsidRPr="006F5E9D">
              <w:t>In addition to the resources listed above in Context of assessment’, evidence should show competency working, in limited spac</w:t>
            </w:r>
            <w:r w:rsidRPr="006F5E9D">
              <w:t>es, with different types of plant and equipment as well as different structural/construction types and methods and in a variety of environments.</w:t>
            </w:r>
          </w:p>
        </w:tc>
      </w:tr>
    </w:tbl>
    <w:p w:rsidR="00000000" w:rsidRPr="006F5E9D" w:rsidP="006F5E9D">
      <w:pPr>
        <w:pStyle w:val="BodyText"/>
      </w:pPr>
    </w:p>
    <w:tbl>
      <w:tblPr>
        <w:tblW w:w="0" w:type="auto"/>
        <w:tblLayout w:type="fixed"/>
        <w:tblCellMar>
          <w:left w:w="62" w:type="dxa"/>
          <w:right w:w="62" w:type="dxa"/>
        </w:tblCellMar>
        <w:tblLook w:val="0000"/>
      </w:tblPr>
      <w:tblGrid>
        <w:gridCol w:w="1890"/>
        <w:gridCol w:w="6570"/>
      </w:tblGrid>
      <w:tr w:rsidTr="004A2B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rPr>
                <w:rStyle w:val="SpecialBold"/>
              </w:rPr>
              <w:t>9.4)</w:t>
            </w:r>
          </w:p>
        </w:tc>
      </w:tr>
      <w:tr w:rsidTr="004A2B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t>This unit shall be assessed by methods given in Section 1.3.00 Assessment Guidelines.</w:t>
            </w:r>
          </w:p>
          <w:p w:rsidR="00000000" w:rsidRPr="006F5E9D" w:rsidP="006F5E9D">
            <w:pPr>
              <w:pStyle w:val="BodyText"/>
            </w:pPr>
            <w:r w:rsidRPr="006F5E9D">
              <w:t xml:space="preserve">Note: </w:t>
            </w:r>
          </w:p>
          <w:p w:rsidR="00000000" w:rsidRPr="006F5E9D" w:rsidP="006F5E9D">
            <w:pPr>
              <w:pStyle w:val="BodyText"/>
            </w:pPr>
            <w:r w:rsidRPr="006F5E9D">
              <w:t>Competent performance with inherent safe working practices is expected in the Industry to which this unit applies. This requires that the specified essential knowl</w:t>
            </w:r>
            <w:r w:rsidRPr="006F5E9D">
              <w:t>edge and associated skills are assessed in a structured environment which is primarily intended for learning/assessment and incorporates all necessary equipment and facilities for learners to develop and demonstrate the Essential Knowledge and Skills descr</w:t>
            </w:r>
            <w:r w:rsidRPr="006F5E9D">
              <w:t>ibed in this unit.</w:t>
            </w:r>
          </w:p>
        </w:tc>
      </w:tr>
    </w:tbl>
    <w:p w:rsidR="00000000" w:rsidRPr="006F5E9D" w:rsidP="006F5E9D">
      <w:pPr>
        <w:pStyle w:val="BodyText"/>
      </w:pPr>
    </w:p>
    <w:tbl>
      <w:tblPr>
        <w:tblW w:w="0" w:type="auto"/>
        <w:tblLayout w:type="fixed"/>
        <w:tblCellMar>
          <w:left w:w="62" w:type="dxa"/>
          <w:right w:w="62" w:type="dxa"/>
        </w:tblCellMar>
        <w:tblLook w:val="0000"/>
      </w:tblPr>
      <w:tblGrid>
        <w:gridCol w:w="1890"/>
        <w:gridCol w:w="6570"/>
      </w:tblGrid>
      <w:tr w:rsidTr="004A2B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rPr>
                <w:rStyle w:val="SpecialBold"/>
              </w:rPr>
              <w:t>9.5)</w:t>
            </w:r>
          </w:p>
        </w:tc>
      </w:tr>
      <w:tr w:rsidTr="004A2B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t>There are no recommended concurrent assessments with this unit, however in some cases efficiencies may be gained in terms of learning and assessment effort being concurrent</w:t>
            </w:r>
            <w:r w:rsidRPr="006F5E9D">
              <w:t>ly managed with allied competency standard units where listed.</w:t>
            </w:r>
          </w:p>
          <w:p w:rsidR="00000000" w:rsidRPr="006F5E9D" w:rsidP="006F5E9D">
            <w:pPr>
              <w:pStyle w:val="BodyText"/>
            </w:pPr>
            <w:r w:rsidRPr="006F5E9D">
              <w:t>Nil</w:t>
            </w:r>
            <w:r w:rsidRPr="006F5E9D">
              <w:tab/>
            </w:r>
          </w:p>
        </w:tc>
      </w:tr>
    </w:tbl>
    <w:p w:rsidR="00000000" w:rsidRPr="006F5E9D" w:rsidP="006F5E9D">
      <w:pPr>
        <w:pStyle w:val="BodyText"/>
      </w:pPr>
    </w:p>
    <w:p w:rsidR="00000000" w:rsidRPr="006F5E9D" w:rsidP="006F5E9D">
      <w:pPr>
        <w:pStyle w:val="AllowPageBreak"/>
      </w:pPr>
    </w:p>
    <w:p w:rsidR="00000000" w:rsidRPr="006F5E9D" w:rsidP="006F5E9D">
      <w:pPr>
        <w:pStyle w:val="Heading1"/>
      </w:pPr>
      <w:bookmarkStart w:id="11" w:name="O_471359"/>
      <w:bookmarkEnd w:id="11"/>
      <w:r w:rsidRPr="006F5E9D">
        <w:t>Range Statement</w:t>
      </w:r>
    </w:p>
    <w:tbl>
      <w:tblPr>
        <w:tblW w:w="0" w:type="auto"/>
        <w:tblLayout w:type="fixed"/>
        <w:tblCellMar>
          <w:left w:w="62" w:type="dxa"/>
          <w:right w:w="62" w:type="dxa"/>
        </w:tblCellMar>
        <w:tblLook w:val="0000"/>
      </w:tblPr>
      <w:tblGrid>
        <w:gridCol w:w="8460"/>
      </w:tblGrid>
      <w:tr w:rsidTr="004A2B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rPr>
                <w:rStyle w:val="SpecialBold"/>
              </w:rPr>
              <w:t>RANGE STATEMENT</w:t>
            </w:r>
          </w:p>
        </w:tc>
      </w:tr>
      <w:tr w:rsidTr="004A2B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rPr>
                <w:rStyle w:val="SpecialBold"/>
              </w:rPr>
              <w:t>10)</w:t>
            </w:r>
            <w:r w:rsidRPr="006F5E9D">
              <w:t xml:space="preserve"> This relates to the competency standard unit as a whole providing the range of contexts and </w:t>
            </w:r>
            <w:r w:rsidRPr="006F5E9D">
              <w:t>conditions to which the Performance Criteria apply. It allows for different work environments and situations that will affect performance.</w:t>
            </w:r>
          </w:p>
          <w:p w:rsidR="00000000" w:rsidRPr="006F5E9D" w:rsidP="006F5E9D">
            <w:pPr>
              <w:pStyle w:val="BodyText"/>
            </w:pPr>
            <w:r w:rsidRPr="006F5E9D">
              <w:t>Generation plant to be tuned may include hydro plant, oil, gas or coal firing equipment; draft systems and associated</w:t>
            </w:r>
            <w:r w:rsidRPr="006F5E9D">
              <w:t xml:space="preserve"> systems; unit control equipment, turbine systems, steam and water systems; water treatment plant, dust collection plant; unit computer or distributive control systems.</w:t>
            </w:r>
          </w:p>
          <w:p w:rsidR="00000000" w:rsidRPr="006F5E9D" w:rsidP="006F5E9D">
            <w:pPr>
              <w:pStyle w:val="BodyText"/>
            </w:pPr>
            <w:r w:rsidRPr="006F5E9D">
              <w:t>Variables include age of plant, plant duty and varying ages of control equipment</w:t>
            </w:r>
          </w:p>
          <w:p w:rsidR="00000000" w:rsidRPr="006F5E9D" w:rsidP="006F5E9D">
            <w:pPr>
              <w:pStyle w:val="BodyText"/>
            </w:pPr>
            <w:r w:rsidRPr="006F5E9D">
              <w:t>Docume</w:t>
            </w:r>
            <w:r w:rsidRPr="006F5E9D">
              <w:t>ntation may include; drawings, logic diagrams, function diagrams, plant records, testing procedures, plant notes, test equipment calibration certificates, manufacturer’s operating and maintenance manuals; plant incident reports, specialist reports and manu</w:t>
            </w:r>
            <w:r w:rsidRPr="006F5E9D">
              <w:t>facturer’s recommendations.</w:t>
            </w:r>
          </w:p>
          <w:p w:rsidR="00000000" w:rsidRPr="006F5E9D" w:rsidP="006F5E9D">
            <w:pPr>
              <w:pStyle w:val="BodyText"/>
            </w:pPr>
            <w:r w:rsidRPr="006F5E9D">
              <w:t>Resources may include internal service groups, external specialists and specialised testing equipment.</w:t>
            </w:r>
          </w:p>
          <w:p w:rsidR="00000000" w:rsidRPr="006F5E9D" w:rsidP="006F5E9D">
            <w:pPr>
              <w:pStyle w:val="BodyText"/>
            </w:pPr>
            <w:r w:rsidRPr="006F5E9D">
              <w:t>Technical considerations may include control systems rate of change, plant overshoot/undershoot, plant capability/limitations</w:t>
            </w:r>
            <w:r w:rsidRPr="006F5E9D">
              <w:t>, control system type and design.</w:t>
            </w:r>
          </w:p>
          <w:p w:rsidR="00000000" w:rsidRPr="006F5E9D" w:rsidP="006F5E9D">
            <w:pPr>
              <w:pStyle w:val="BodyText"/>
            </w:pPr>
            <w:r w:rsidRPr="006F5E9D">
              <w:t>Process considerations may include; pressure, level, flow, temperature, speed and vibration and mix.</w:t>
            </w:r>
          </w:p>
          <w:p w:rsidR="00000000" w:rsidRPr="006F5E9D" w:rsidP="006F5E9D">
            <w:pPr>
              <w:pStyle w:val="BodyText"/>
            </w:pPr>
            <w:r w:rsidRPr="006F5E9D">
              <w:t>Statutory requirements may include Occupational Health and Safety legislation, and environmental legislation.</w:t>
            </w:r>
          </w:p>
          <w:p w:rsidR="00000000" w:rsidRPr="006F5E9D" w:rsidP="006F5E9D">
            <w:pPr>
              <w:pStyle w:val="BodyText"/>
            </w:pPr>
            <w:r w:rsidRPr="006F5E9D">
              <w:t>Generic ter</w:t>
            </w:r>
            <w:r w:rsidRPr="006F5E9D">
              <w:t>ms are used throughout this Training Package for vocational standard shall be regarded as part of the Range Statement in which competency is demonstrated. The definition of these and other terms are given in Section 2.1 Preliminary Information and Glossari</w:t>
            </w:r>
            <w:r w:rsidRPr="006F5E9D">
              <w:t>es.</w:t>
            </w:r>
          </w:p>
        </w:tc>
      </w:tr>
    </w:tbl>
    <w:p w:rsidR="00000000" w:rsidRPr="006F5E9D" w:rsidP="006F5E9D">
      <w:pPr>
        <w:pStyle w:val="BodyText"/>
      </w:pPr>
    </w:p>
    <w:p w:rsidR="00000000" w:rsidRPr="006F5E9D" w:rsidP="006F5E9D">
      <w:pPr>
        <w:pStyle w:val="AllowPageBreak"/>
      </w:pPr>
    </w:p>
    <w:p w:rsidR="00000000" w:rsidRPr="006F5E9D" w:rsidP="006F5E9D">
      <w:pPr>
        <w:pStyle w:val="Heading1"/>
      </w:pPr>
      <w:bookmarkStart w:id="12" w:name="O_471362"/>
      <w:bookmarkEnd w:id="12"/>
      <w:r w:rsidRPr="006F5E9D">
        <w:t>Unit Sector(s)</w:t>
      </w:r>
    </w:p>
    <w:p w:rsidR="00000000" w:rsidRPr="006F5E9D" w:rsidP="006F5E9D">
      <w:pPr>
        <w:pStyle w:val="BodyText"/>
      </w:pPr>
      <w:r w:rsidRPr="006F5E9D">
        <w:t>Not applicable.</w:t>
      </w:r>
    </w:p>
    <w:p w:rsidR="00000000" w:rsidRPr="006F5E9D" w:rsidP="006F5E9D">
      <w:pPr>
        <w:pStyle w:val="AllowPageBreak"/>
      </w:pPr>
    </w:p>
    <w:p w:rsidR="00000000" w:rsidRPr="006F5E9D" w:rsidP="006F5E9D">
      <w:pPr>
        <w:pStyle w:val="Heading1"/>
      </w:pPr>
      <w:bookmarkStart w:id="13" w:name="O_471351"/>
      <w:bookmarkEnd w:id="13"/>
      <w:r w:rsidRPr="006F5E9D">
        <w:t>Competency Field</w:t>
      </w:r>
    </w:p>
    <w:tbl>
      <w:tblPr>
        <w:tblW w:w="0" w:type="auto"/>
        <w:tblLayout w:type="fixed"/>
        <w:tblCellMar>
          <w:left w:w="62" w:type="dxa"/>
          <w:right w:w="62" w:type="dxa"/>
        </w:tblCellMar>
        <w:tblLook w:val="0000"/>
      </w:tblPr>
      <w:tblGrid>
        <w:gridCol w:w="2700"/>
        <w:gridCol w:w="5760"/>
      </w:tblGrid>
      <w:tr w:rsidTr="004A2B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F5E9D">
            <w:pPr>
              <w:pStyle w:val="BodyText"/>
              <w:rPr>
                <w:lang w:val="en-NZ"/>
              </w:rPr>
            </w:pPr>
            <w:r w:rsidRPr="006F5E9D">
              <w:rPr>
                <w:rStyle w:val="SpecialBold"/>
              </w:rPr>
              <w:t xml:space="preserve">11) </w:t>
            </w:r>
          </w:p>
        </w:tc>
      </w:tr>
      <w:tr w:rsidTr="004A2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5E9D" w:rsidP="006F5E9D">
            <w:pPr>
              <w:pStyle w:val="BodyText"/>
            </w:pPr>
            <w:r w:rsidRPr="006F5E9D">
              <w:t>Operations.</w:t>
            </w:r>
          </w:p>
        </w:tc>
      </w:tr>
    </w:tbl>
    <w:p w:rsidR="00000000" w:rsidRPr="006F5E9D" w:rsidP="006F5E9D">
      <w:pPr>
        <w:pStyle w:val="BodyText"/>
      </w:pPr>
    </w:p>
    <w:p w:rsidR="00000000" w:rsidRPr="006F5E9D" w:rsidP="006F5E9D"/>
    <w:sectPr w:rsidSect="006F5E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E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2B22" w:rsidP="004A2B2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E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B22" w:rsidP="006F5E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A2B22" w:rsidP="006F5E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A2B22" w:rsidP="006F5E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E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E9D" w:rsidRPr="004A2B22" w:rsidP="004A2B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E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B22" w:rsidRPr="002D2AF8" w:rsidP="006F5E9D">
    <w:pPr>
      <w:pStyle w:val="Header"/>
      <w:framePr w:wrap="around"/>
    </w:pPr>
    <w:r>
      <w:fldChar w:fldCharType="begin"/>
    </w:r>
    <w:r>
      <w:instrText xml:space="preserve"> TITLE   \* MERGEFORMAT </w:instrText>
    </w:r>
    <w:r>
      <w:fldChar w:fldCharType="separate"/>
    </w:r>
    <w:r>
      <w:t>UEPOPS511B Tune process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4A2B22" w:rsidP="006F5E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D05E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4AB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C8F9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E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5E9D"/>
    <w:pPr>
      <w:spacing w:before="360" w:after="60"/>
      <w:outlineLvl w:val="0"/>
    </w:pPr>
    <w:rPr>
      <w:sz w:val="32"/>
    </w:rPr>
  </w:style>
  <w:style w:type="paragraph" w:styleId="Heading2">
    <w:name w:val="heading 2"/>
    <w:basedOn w:val="HeadingBase"/>
    <w:next w:val="BodyText"/>
    <w:link w:val="Heading2Char"/>
    <w:qFormat/>
    <w:rsid w:val="006F5E9D"/>
    <w:pPr>
      <w:keepLines/>
      <w:spacing w:before="240" w:after="120"/>
      <w:outlineLvl w:val="1"/>
    </w:pPr>
    <w:rPr>
      <w:sz w:val="28"/>
      <w:szCs w:val="40"/>
    </w:rPr>
  </w:style>
  <w:style w:type="paragraph" w:styleId="Heading3">
    <w:name w:val="heading 3"/>
    <w:basedOn w:val="HeadingBase"/>
    <w:next w:val="BodyText"/>
    <w:link w:val="Heading3Char"/>
    <w:qFormat/>
    <w:rsid w:val="006F5E9D"/>
    <w:pPr>
      <w:spacing w:before="180" w:after="120"/>
      <w:outlineLvl w:val="2"/>
    </w:pPr>
    <w:rPr>
      <w:spacing w:val="-10"/>
      <w:kern w:val="32"/>
    </w:rPr>
  </w:style>
  <w:style w:type="paragraph" w:styleId="Heading4">
    <w:name w:val="heading 4"/>
    <w:basedOn w:val="HeadingBase"/>
    <w:next w:val="BodyText"/>
    <w:link w:val="Heading4Char"/>
    <w:qFormat/>
    <w:rsid w:val="006F5E9D"/>
    <w:pPr>
      <w:spacing w:before="160" w:after="120"/>
      <w:outlineLvl w:val="3"/>
    </w:pPr>
    <w:rPr>
      <w:sz w:val="22"/>
    </w:rPr>
  </w:style>
  <w:style w:type="paragraph" w:styleId="Heading5">
    <w:name w:val="heading 5"/>
    <w:basedOn w:val="HeadingBase"/>
    <w:next w:val="Normal"/>
    <w:link w:val="Heading5Char"/>
    <w:qFormat/>
    <w:rsid w:val="006F5E9D"/>
    <w:pPr>
      <w:spacing w:before="80"/>
      <w:outlineLvl w:val="4"/>
    </w:pPr>
    <w:rPr>
      <w:color w:val="918585"/>
      <w:sz w:val="20"/>
    </w:rPr>
  </w:style>
  <w:style w:type="paragraph" w:styleId="Heading6">
    <w:name w:val="heading 6"/>
    <w:basedOn w:val="HeadingBase"/>
    <w:next w:val="Normal"/>
    <w:link w:val="Heading6Char"/>
    <w:qFormat/>
    <w:rsid w:val="006F5E9D"/>
    <w:pPr>
      <w:spacing w:before="60"/>
      <w:outlineLvl w:val="5"/>
    </w:pPr>
    <w:rPr>
      <w:color w:val="918585"/>
      <w:sz w:val="20"/>
    </w:rPr>
  </w:style>
  <w:style w:type="paragraph" w:styleId="Heading7">
    <w:name w:val="heading 7"/>
    <w:basedOn w:val="Normal"/>
    <w:next w:val="Normal"/>
    <w:link w:val="Heading7Char"/>
    <w:qFormat/>
    <w:rsid w:val="006F5E9D"/>
    <w:pPr>
      <w:ind w:left="720"/>
      <w:outlineLvl w:val="6"/>
    </w:pPr>
    <w:rPr>
      <w:i/>
    </w:rPr>
  </w:style>
  <w:style w:type="paragraph" w:styleId="Heading8">
    <w:name w:val="heading 8"/>
    <w:basedOn w:val="Normal"/>
    <w:next w:val="Normal"/>
    <w:link w:val="Heading8Char"/>
    <w:qFormat/>
    <w:rsid w:val="006F5E9D"/>
    <w:pPr>
      <w:ind w:left="720"/>
      <w:outlineLvl w:val="7"/>
    </w:pPr>
    <w:rPr>
      <w:i/>
    </w:rPr>
  </w:style>
  <w:style w:type="paragraph" w:styleId="Heading9">
    <w:name w:val="heading 9"/>
    <w:basedOn w:val="Normal"/>
    <w:next w:val="Normal"/>
    <w:link w:val="Heading9Char"/>
    <w:qFormat/>
    <w:rsid w:val="006F5E9D"/>
    <w:pPr>
      <w:ind w:left="720"/>
      <w:outlineLvl w:val="8"/>
    </w:pPr>
    <w:rPr>
      <w:i/>
    </w:rPr>
  </w:style>
  <w:style w:type="character" w:default="1" w:styleId="DefaultParagraphFont">
    <w:name w:val="Default Paragraph Font"/>
    <w:uiPriority w:val="1"/>
    <w:unhideWhenUsed/>
    <w:rsid w:val="006F5E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E9D"/>
  </w:style>
  <w:style w:type="character" w:customStyle="1" w:styleId="Heading1Char">
    <w:name w:val="Heading 1 Char"/>
    <w:basedOn w:val="DefaultParagraphFont"/>
    <w:link w:val="Heading1"/>
    <w:rsid w:val="006F5E9D"/>
    <w:rPr>
      <w:rFonts w:ascii="Times New Roman" w:eastAsia="Times New Roman" w:hAnsi="Times New Roman" w:cs="Times New Roman"/>
      <w:b/>
      <w:sz w:val="32"/>
      <w:szCs w:val="20"/>
      <w:lang w:eastAsia="en-US"/>
    </w:rPr>
  </w:style>
  <w:style w:type="paragraph" w:styleId="BodyText">
    <w:name w:val="Body Text"/>
    <w:basedOn w:val="Normal"/>
    <w:link w:val="BodyTextChar"/>
    <w:rsid w:val="006F5E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5E9D"/>
    <w:rPr>
      <w:rFonts w:ascii="Times New Roman" w:eastAsia="Times New Roman" w:hAnsi="Times New Roman" w:cs="Times New Roman"/>
      <w:sz w:val="24"/>
      <w:lang w:eastAsia="en-US"/>
    </w:rPr>
  </w:style>
  <w:style w:type="paragraph" w:styleId="Footer">
    <w:name w:val="footer"/>
    <w:basedOn w:val="Normal"/>
    <w:link w:val="FooterChar"/>
    <w:rsid w:val="006F5E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E9D"/>
    <w:rPr>
      <w:rFonts w:ascii="Times New Roman" w:eastAsia="Times New Roman" w:hAnsi="Times New Roman" w:cs="Times New Roman"/>
      <w:sz w:val="16"/>
      <w:lang w:eastAsia="en-US"/>
    </w:rPr>
  </w:style>
  <w:style w:type="paragraph" w:styleId="ListBullet">
    <w:name w:val="List Bullet"/>
    <w:basedOn w:val="List"/>
    <w:rsid w:val="006F5E9D"/>
    <w:pPr>
      <w:numPr>
        <w:numId w:val="13"/>
      </w:numPr>
      <w:tabs>
        <w:tab w:val="clear" w:pos="340"/>
      </w:tabs>
      <w:spacing w:before="40" w:after="40"/>
    </w:pPr>
  </w:style>
  <w:style w:type="character" w:customStyle="1" w:styleId="SpecialBold">
    <w:name w:val="Special Bold"/>
    <w:basedOn w:val="DefaultParagraphFont"/>
    <w:rsid w:val="006F5E9D"/>
    <w:rPr>
      <w:b/>
      <w:spacing w:val="0"/>
    </w:rPr>
  </w:style>
  <w:style w:type="paragraph" w:styleId="ListBullet2">
    <w:name w:val="List Bullet 2"/>
    <w:basedOn w:val="List2"/>
    <w:rsid w:val="006F5E9D"/>
    <w:pPr>
      <w:numPr>
        <w:numId w:val="14"/>
      </w:numPr>
      <w:tabs>
        <w:tab w:val="clear" w:pos="680"/>
      </w:tabs>
    </w:pPr>
  </w:style>
  <w:style w:type="paragraph" w:customStyle="1" w:styleId="SuperHeading">
    <w:name w:val="SuperHeading"/>
    <w:basedOn w:val="Normal"/>
    <w:rsid w:val="006F5E9D"/>
    <w:pPr>
      <w:spacing w:before="240" w:after="120"/>
      <w:outlineLvl w:val="0"/>
    </w:pPr>
    <w:rPr>
      <w:rFonts w:ascii="Times New Roman" w:hAnsi="Times New Roman"/>
      <w:b/>
      <w:sz w:val="28"/>
    </w:rPr>
  </w:style>
  <w:style w:type="paragraph" w:customStyle="1" w:styleId="AllowPageBreak">
    <w:name w:val="AllowPageBreak"/>
    <w:rsid w:val="006F5E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5E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E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E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E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E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E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5E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5E9D"/>
    <w:rPr>
      <w:rFonts w:ascii="Courier New" w:eastAsia="Times New Roman" w:hAnsi="Courier New" w:cs="Times New Roman"/>
      <w:i/>
      <w:szCs w:val="20"/>
      <w:lang w:eastAsia="en-US"/>
    </w:rPr>
  </w:style>
  <w:style w:type="paragraph" w:customStyle="1" w:styleId="HeadingBase">
    <w:name w:val="Heading Base"/>
    <w:rsid w:val="006F5E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E9D"/>
    <w:pPr>
      <w:tabs>
        <w:tab w:val="right" w:leader="dot" w:pos="9072"/>
      </w:tabs>
      <w:ind w:left="567"/>
    </w:pPr>
    <w:rPr>
      <w:szCs w:val="22"/>
    </w:rPr>
  </w:style>
  <w:style w:type="paragraph" w:customStyle="1" w:styleId="TOCBase">
    <w:name w:val="TOC Base"/>
    <w:rsid w:val="006F5E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E9D"/>
    <w:pPr>
      <w:tabs>
        <w:tab w:val="right" w:leader="dot" w:pos="9072"/>
      </w:tabs>
      <w:spacing w:before="40" w:after="40"/>
      <w:ind w:left="284"/>
    </w:pPr>
    <w:rPr>
      <w:rFonts w:ascii="Times New Roman" w:hAnsi="Times New Roman"/>
    </w:rPr>
  </w:style>
  <w:style w:type="paragraph" w:styleId="TOC1">
    <w:name w:val="toc 1"/>
    <w:basedOn w:val="TOCBase"/>
    <w:next w:val="Normal"/>
    <w:rsid w:val="006F5E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5E9D"/>
    <w:pPr>
      <w:spacing w:before="5040"/>
      <w:jc w:val="center"/>
    </w:pPr>
    <w:rPr>
      <w:sz w:val="48"/>
      <w:szCs w:val="72"/>
      <w:lang w:val="en-US"/>
    </w:rPr>
  </w:style>
  <w:style w:type="character" w:customStyle="1" w:styleId="TitleChar">
    <w:name w:val="Title Char"/>
    <w:basedOn w:val="DefaultParagraphFont"/>
    <w:link w:val="Title"/>
    <w:rsid w:val="006F5E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E9D"/>
    <w:pPr>
      <w:tabs>
        <w:tab w:val="left" w:pos="3600"/>
        <w:tab w:val="left" w:pos="3958"/>
      </w:tabs>
    </w:pPr>
  </w:style>
  <w:style w:type="paragraph" w:styleId="List">
    <w:name w:val="List"/>
    <w:basedOn w:val="BodyText"/>
    <w:next w:val="BodyText"/>
    <w:rsid w:val="006F5E9D"/>
    <w:pPr>
      <w:tabs>
        <w:tab w:val="left" w:pos="340"/>
      </w:tabs>
      <w:spacing w:before="60" w:after="60"/>
      <w:ind w:left="340" w:hanging="340"/>
    </w:pPr>
  </w:style>
  <w:style w:type="paragraph" w:customStyle="1" w:styleId="Note">
    <w:name w:val="Note"/>
    <w:basedOn w:val="BodyText"/>
    <w:rsid w:val="006F5E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5E9D"/>
    <w:pPr>
      <w:framePr w:wrap="auto" w:hAnchor="text" w:y="6049"/>
    </w:pPr>
    <w:rPr>
      <w:color w:val="000000"/>
      <w:sz w:val="40"/>
    </w:rPr>
  </w:style>
  <w:style w:type="paragraph" w:customStyle="1" w:styleId="TOCTitle">
    <w:name w:val="TOCTitle"/>
    <w:basedOn w:val="Heading1"/>
    <w:rsid w:val="006F5E9D"/>
    <w:pPr>
      <w:spacing w:after="240"/>
      <w:jc w:val="center"/>
      <w:outlineLvl w:val="9"/>
    </w:pPr>
    <w:rPr>
      <w:caps/>
    </w:rPr>
  </w:style>
  <w:style w:type="paragraph" w:customStyle="1" w:styleId="Version">
    <w:name w:val="Version"/>
    <w:rsid w:val="006F5E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5E9D"/>
    <w:pPr>
      <w:keepNext w:val="0"/>
      <w:tabs>
        <w:tab w:val="right" w:pos="4176"/>
      </w:tabs>
      <w:ind w:left="198" w:hanging="198"/>
    </w:pPr>
    <w:rPr>
      <w:rFonts w:ascii="Garamond" w:hAnsi="Garamond"/>
    </w:rPr>
  </w:style>
  <w:style w:type="paragraph" w:styleId="IndexHeading">
    <w:name w:val="index heading"/>
    <w:basedOn w:val="Normal"/>
    <w:next w:val="Index1"/>
    <w:semiHidden/>
    <w:rsid w:val="006F5E9D"/>
    <w:pPr>
      <w:spacing w:before="120" w:after="120"/>
    </w:pPr>
    <w:rPr>
      <w:rFonts w:ascii="Arial" w:hAnsi="Arial"/>
      <w:b/>
      <w:color w:val="918585"/>
      <w:sz w:val="24"/>
    </w:rPr>
  </w:style>
  <w:style w:type="paragraph" w:styleId="Header">
    <w:name w:val="header"/>
    <w:basedOn w:val="Normal"/>
    <w:link w:val="HeaderChar"/>
    <w:rsid w:val="006F5E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E9D"/>
    <w:rPr>
      <w:rFonts w:ascii="Times New Roman" w:eastAsia="Times New Roman" w:hAnsi="Times New Roman" w:cs="Times New Roman"/>
      <w:sz w:val="16"/>
      <w:szCs w:val="20"/>
      <w:lang w:val="en-GB" w:eastAsia="en-US"/>
    </w:rPr>
  </w:style>
  <w:style w:type="paragraph" w:customStyle="1" w:styleId="Chapter">
    <w:name w:val="Chapter"/>
    <w:basedOn w:val="Normal"/>
    <w:rsid w:val="006F5E9D"/>
    <w:pPr>
      <w:spacing w:before="240"/>
    </w:pPr>
    <w:rPr>
      <w:rFonts w:ascii="Times New Roman" w:hAnsi="Times New Roman"/>
      <w:smallCaps/>
      <w:spacing w:val="80"/>
      <w:sz w:val="28"/>
    </w:rPr>
  </w:style>
  <w:style w:type="paragraph" w:customStyle="1" w:styleId="InChapter">
    <w:name w:val="InChapter"/>
    <w:basedOn w:val="Heading3"/>
    <w:rsid w:val="006F5E9D"/>
    <w:pPr>
      <w:spacing w:after="240"/>
      <w:outlineLvl w:val="9"/>
    </w:pPr>
    <w:rPr>
      <w:noProof/>
    </w:rPr>
  </w:style>
  <w:style w:type="paragraph" w:styleId="Index2">
    <w:name w:val="index 2"/>
    <w:basedOn w:val="Normal"/>
    <w:next w:val="Normal"/>
    <w:semiHidden/>
    <w:rsid w:val="006F5E9D"/>
    <w:pPr>
      <w:tabs>
        <w:tab w:val="right" w:pos="4176"/>
      </w:tabs>
      <w:ind w:left="568" w:hanging="284"/>
    </w:pPr>
    <w:rPr>
      <w:rFonts w:ascii="Garamond" w:hAnsi="Garamond"/>
    </w:rPr>
  </w:style>
  <w:style w:type="paragraph" w:customStyle="1" w:styleId="Byline">
    <w:name w:val="Byline"/>
    <w:rsid w:val="006F5E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E9D"/>
    <w:pPr>
      <w:tabs>
        <w:tab w:val="clear" w:pos="3600"/>
        <w:tab w:val="clear" w:pos="3958"/>
      </w:tabs>
      <w:jc w:val="right"/>
    </w:pPr>
  </w:style>
  <w:style w:type="character" w:styleId="Emphasis">
    <w:name w:val="Emphasis"/>
    <w:basedOn w:val="DefaultParagraphFont"/>
    <w:qFormat/>
    <w:rsid w:val="006F5E9D"/>
    <w:rPr>
      <w:i/>
    </w:rPr>
  </w:style>
  <w:style w:type="paragraph" w:styleId="Caption">
    <w:name w:val="caption"/>
    <w:basedOn w:val="BodyText"/>
    <w:next w:val="Normal"/>
    <w:qFormat/>
    <w:rsid w:val="006F5E9D"/>
    <w:pPr>
      <w:framePr w:w="2268" w:hSpace="181" w:vSpace="181" w:wrap="around" w:vAnchor="text" w:hAnchor="page" w:x="1135" w:y="285" w:anchorLock="1"/>
    </w:pPr>
    <w:rPr>
      <w:i/>
    </w:rPr>
  </w:style>
  <w:style w:type="paragraph" w:customStyle="1" w:styleId="MiniTOCTitle">
    <w:name w:val="MiniTOCTitle"/>
    <w:basedOn w:val="Heading4"/>
    <w:rsid w:val="006F5E9D"/>
    <w:pPr>
      <w:spacing w:before="240"/>
      <w:outlineLvl w:val="9"/>
    </w:pPr>
    <w:rPr>
      <w:noProof/>
      <w:sz w:val="24"/>
    </w:rPr>
  </w:style>
  <w:style w:type="paragraph" w:customStyle="1" w:styleId="MiniTOCItem">
    <w:name w:val="MiniTOCItem"/>
    <w:basedOn w:val="ListBullet"/>
    <w:rsid w:val="006F5E9D"/>
    <w:pPr>
      <w:numPr>
        <w:numId w:val="0"/>
      </w:numPr>
      <w:tabs>
        <w:tab w:val="right" w:leader="dot" w:pos="6521"/>
      </w:tabs>
      <w:spacing w:before="0" w:after="0"/>
    </w:pPr>
  </w:style>
  <w:style w:type="paragraph" w:customStyle="1" w:styleId="TOFTitle">
    <w:name w:val="TOFTitle"/>
    <w:basedOn w:val="TOCTitle"/>
    <w:rsid w:val="006F5E9D"/>
  </w:style>
  <w:style w:type="paragraph" w:styleId="TableofFigures">
    <w:name w:val="table of figures"/>
    <w:basedOn w:val="Normal"/>
    <w:next w:val="Normal"/>
    <w:semiHidden/>
    <w:rsid w:val="006F5E9D"/>
    <w:pPr>
      <w:tabs>
        <w:tab w:val="right" w:leader="dot" w:pos="9072"/>
      </w:tabs>
      <w:ind w:left="970" w:hanging="403"/>
    </w:pPr>
    <w:rPr>
      <w:rFonts w:ascii="Times New Roman" w:hAnsi="Times New Roman"/>
      <w:b/>
    </w:rPr>
  </w:style>
  <w:style w:type="paragraph" w:styleId="ListNumber">
    <w:name w:val="List Number"/>
    <w:basedOn w:val="List"/>
    <w:rsid w:val="006F5E9D"/>
    <w:pPr>
      <w:numPr>
        <w:numId w:val="11"/>
      </w:numPr>
    </w:pPr>
  </w:style>
  <w:style w:type="character" w:customStyle="1" w:styleId="WingdingSymbols">
    <w:name w:val="Wingding Symbols"/>
    <w:rsid w:val="006F5E9D"/>
    <w:rPr>
      <w:rFonts w:ascii="Wingdings" w:hAnsi="Wingdings"/>
    </w:rPr>
  </w:style>
  <w:style w:type="paragraph" w:customStyle="1" w:styleId="TableHeading">
    <w:name w:val="Table Heading"/>
    <w:basedOn w:val="HeadingBase"/>
    <w:rsid w:val="006F5E9D"/>
    <w:pPr>
      <w:keepLines/>
      <w:pBdr>
        <w:bottom w:val="single" w:sz="6" w:space="1" w:color="918585"/>
      </w:pBdr>
      <w:spacing w:before="240"/>
    </w:pPr>
  </w:style>
  <w:style w:type="character" w:customStyle="1" w:styleId="HotSpot">
    <w:name w:val="HotSpot"/>
    <w:rsid w:val="006F5E9D"/>
    <w:rPr>
      <w:color w:val="0033CC"/>
      <w:u w:val="none"/>
    </w:rPr>
  </w:style>
  <w:style w:type="paragraph" w:customStyle="1" w:styleId="BodyTextRight">
    <w:name w:val="Body Text Right"/>
    <w:basedOn w:val="BodyText"/>
    <w:rsid w:val="006F5E9D"/>
    <w:pPr>
      <w:spacing w:before="0" w:after="0"/>
      <w:jc w:val="right"/>
    </w:pPr>
  </w:style>
  <w:style w:type="paragraph" w:styleId="Index3">
    <w:name w:val="index 3"/>
    <w:basedOn w:val="ListNumber2"/>
    <w:next w:val="Normal"/>
    <w:semiHidden/>
    <w:rsid w:val="006F5E9D"/>
    <w:pPr>
      <w:numPr>
        <w:numId w:val="0"/>
      </w:numPr>
      <w:tabs>
        <w:tab w:val="right" w:leader="dot" w:pos="4176"/>
      </w:tabs>
    </w:pPr>
  </w:style>
  <w:style w:type="paragraph" w:styleId="ListNumber2">
    <w:name w:val="List Number 2"/>
    <w:basedOn w:val="List2"/>
    <w:rsid w:val="006F5E9D"/>
    <w:pPr>
      <w:numPr>
        <w:numId w:val="10"/>
      </w:numPr>
      <w:tabs>
        <w:tab w:val="clear" w:pos="1060"/>
      </w:tabs>
    </w:pPr>
  </w:style>
  <w:style w:type="paragraph" w:customStyle="1" w:styleId="MarginNote">
    <w:name w:val="Margin Note"/>
    <w:basedOn w:val="BodyText"/>
    <w:rsid w:val="006F5E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E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E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5E9D"/>
    <w:rPr>
      <w:sz w:val="32"/>
    </w:rPr>
  </w:style>
  <w:style w:type="paragraph" w:customStyle="1" w:styleId="HeadingProcedure">
    <w:name w:val="Heading Procedure"/>
    <w:basedOn w:val="HeadingBase"/>
    <w:next w:val="Normal"/>
    <w:rsid w:val="006F5E9D"/>
    <w:pPr>
      <w:tabs>
        <w:tab w:val="left" w:pos="0"/>
      </w:tabs>
      <w:spacing w:before="120" w:after="60"/>
    </w:pPr>
    <w:rPr>
      <w:i/>
      <w:color w:val="918585"/>
      <w:sz w:val="22"/>
    </w:rPr>
  </w:style>
  <w:style w:type="paragraph" w:customStyle="1" w:styleId="TableBodyText">
    <w:name w:val="Table Body Text"/>
    <w:basedOn w:val="BodyText"/>
    <w:rsid w:val="006F5E9D"/>
    <w:pPr>
      <w:spacing w:before="60" w:after="60"/>
    </w:pPr>
  </w:style>
  <w:style w:type="paragraph" w:styleId="ListContinue">
    <w:name w:val="List Continue"/>
    <w:basedOn w:val="List"/>
    <w:rsid w:val="006F5E9D"/>
    <w:pPr>
      <w:ind w:firstLine="0"/>
    </w:pPr>
  </w:style>
  <w:style w:type="paragraph" w:customStyle="1" w:styleId="ListNote">
    <w:name w:val="List Note"/>
    <w:basedOn w:val="List"/>
    <w:rsid w:val="006F5E9D"/>
    <w:pPr>
      <w:pBdr>
        <w:top w:val="single" w:sz="6" w:space="2" w:color="918585"/>
        <w:bottom w:val="single" w:sz="6" w:space="2" w:color="918585"/>
      </w:pBdr>
      <w:tabs>
        <w:tab w:val="left" w:pos="1021"/>
      </w:tabs>
      <w:ind w:firstLine="0"/>
    </w:pPr>
  </w:style>
  <w:style w:type="paragraph" w:customStyle="1" w:styleId="Warning">
    <w:name w:val="Warning"/>
    <w:basedOn w:val="BodyText"/>
    <w:rsid w:val="006F5E9D"/>
    <w:pPr>
      <w:shd w:val="clear" w:color="auto" w:fill="D9D9D9"/>
      <w:tabs>
        <w:tab w:val="left" w:pos="992"/>
      </w:tabs>
      <w:ind w:left="119" w:right="119"/>
    </w:pPr>
    <w:rPr>
      <w:sz w:val="20"/>
    </w:rPr>
  </w:style>
  <w:style w:type="paragraph" w:customStyle="1" w:styleId="MarginIcons">
    <w:name w:val="Margin Icons"/>
    <w:basedOn w:val="BodyText"/>
    <w:rsid w:val="006F5E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E9D"/>
    <w:rPr>
      <w:rFonts w:ascii="Courier New" w:hAnsi="Courier New"/>
    </w:rPr>
  </w:style>
  <w:style w:type="paragraph" w:customStyle="1" w:styleId="NoteBullet">
    <w:name w:val="Note Bullet"/>
    <w:basedOn w:val="Note"/>
    <w:rsid w:val="006F5E9D"/>
    <w:pPr>
      <w:tabs>
        <w:tab w:val="clear" w:pos="680"/>
      </w:tabs>
      <w:spacing w:before="60" w:after="60"/>
    </w:pPr>
  </w:style>
  <w:style w:type="paragraph" w:customStyle="1" w:styleId="SubHeading2">
    <w:name w:val="SubHeading2"/>
    <w:basedOn w:val="HeadingBase"/>
    <w:rsid w:val="006F5E9D"/>
    <w:pPr>
      <w:spacing w:before="240" w:after="60"/>
    </w:pPr>
    <w:rPr>
      <w:sz w:val="20"/>
    </w:rPr>
  </w:style>
  <w:style w:type="paragraph" w:customStyle="1" w:styleId="SubHeading1">
    <w:name w:val="SubHeading1"/>
    <w:basedOn w:val="HeadingBase"/>
    <w:rsid w:val="006F5E9D"/>
    <w:pPr>
      <w:spacing w:before="240" w:after="60"/>
    </w:pPr>
    <w:rPr>
      <w:color w:val="918585"/>
      <w:sz w:val="22"/>
    </w:rPr>
  </w:style>
  <w:style w:type="paragraph" w:customStyle="1" w:styleId="SideHeading">
    <w:name w:val="Side Heading"/>
    <w:basedOn w:val="HeadingBase"/>
    <w:rsid w:val="006F5E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E9D"/>
    <w:pPr>
      <w:numPr>
        <w:numId w:val="12"/>
      </w:numPr>
    </w:pPr>
  </w:style>
  <w:style w:type="paragraph" w:styleId="PlainText">
    <w:name w:val="Plain Text"/>
    <w:basedOn w:val="Normal"/>
    <w:link w:val="PlainTextChar"/>
    <w:rsid w:val="006F5E9D"/>
    <w:rPr>
      <w:sz w:val="20"/>
    </w:rPr>
  </w:style>
  <w:style w:type="character" w:customStyle="1" w:styleId="PlainTextChar">
    <w:name w:val="Plain Text Char"/>
    <w:basedOn w:val="DefaultParagraphFont"/>
    <w:link w:val="PlainText"/>
    <w:rsid w:val="006F5E9D"/>
    <w:rPr>
      <w:rFonts w:ascii="Courier New" w:eastAsia="Times New Roman" w:hAnsi="Courier New" w:cs="Times New Roman"/>
      <w:sz w:val="20"/>
      <w:szCs w:val="20"/>
      <w:lang w:eastAsia="en-US"/>
    </w:rPr>
  </w:style>
  <w:style w:type="character" w:customStyle="1" w:styleId="MenuOption">
    <w:name w:val="Menu Option"/>
    <w:basedOn w:val="DefaultParagraphFont"/>
    <w:rsid w:val="006F5E9D"/>
    <w:rPr>
      <w:b/>
      <w:smallCaps/>
    </w:rPr>
  </w:style>
  <w:style w:type="paragraph" w:customStyle="1" w:styleId="TableListNumber">
    <w:name w:val="Table List Number"/>
    <w:basedOn w:val="ListNumber"/>
    <w:rsid w:val="006F5E9D"/>
    <w:pPr>
      <w:numPr>
        <w:numId w:val="0"/>
      </w:numPr>
    </w:pPr>
  </w:style>
  <w:style w:type="paragraph" w:styleId="TOC4">
    <w:name w:val="toc 4"/>
    <w:basedOn w:val="TOCBase"/>
    <w:next w:val="Normal"/>
    <w:semiHidden/>
    <w:rsid w:val="006F5E9D"/>
    <w:pPr>
      <w:tabs>
        <w:tab w:val="right" w:leader="dot" w:pos="9071"/>
      </w:tabs>
      <w:ind w:left="1701"/>
    </w:pPr>
  </w:style>
  <w:style w:type="paragraph" w:customStyle="1" w:styleId="ListAlpha">
    <w:name w:val="List Alpha"/>
    <w:basedOn w:val="List"/>
    <w:rsid w:val="006F5E9D"/>
    <w:pPr>
      <w:numPr>
        <w:numId w:val="9"/>
      </w:numPr>
    </w:pPr>
  </w:style>
  <w:style w:type="paragraph" w:customStyle="1" w:styleId="ListAlpha2">
    <w:name w:val="List Alpha 2"/>
    <w:basedOn w:val="List2"/>
    <w:rsid w:val="006F5E9D"/>
    <w:pPr>
      <w:numPr>
        <w:numId w:val="8"/>
      </w:numPr>
    </w:pPr>
  </w:style>
  <w:style w:type="paragraph" w:styleId="List2">
    <w:name w:val="List 2"/>
    <w:basedOn w:val="BodyText"/>
    <w:rsid w:val="006F5E9D"/>
    <w:pPr>
      <w:tabs>
        <w:tab w:val="left" w:pos="680"/>
      </w:tabs>
      <w:spacing w:before="60" w:after="60"/>
      <w:ind w:left="680" w:hanging="340"/>
    </w:pPr>
  </w:style>
  <w:style w:type="paragraph" w:styleId="List3">
    <w:name w:val="List 3"/>
    <w:basedOn w:val="BodyText"/>
    <w:rsid w:val="006F5E9D"/>
    <w:pPr>
      <w:tabs>
        <w:tab w:val="left" w:pos="1021"/>
      </w:tabs>
      <w:spacing w:before="60" w:after="60"/>
      <w:ind w:left="1020" w:hanging="340"/>
    </w:pPr>
  </w:style>
  <w:style w:type="paragraph" w:styleId="List4">
    <w:name w:val="List 4"/>
    <w:basedOn w:val="BodyText"/>
    <w:rsid w:val="006F5E9D"/>
    <w:pPr>
      <w:tabs>
        <w:tab w:val="left" w:pos="1361"/>
      </w:tabs>
      <w:spacing w:before="60" w:after="60"/>
      <w:ind w:left="1361" w:hanging="340"/>
    </w:pPr>
  </w:style>
  <w:style w:type="paragraph" w:styleId="List5">
    <w:name w:val="List 5"/>
    <w:basedOn w:val="BodyText"/>
    <w:rsid w:val="006F5E9D"/>
    <w:pPr>
      <w:tabs>
        <w:tab w:val="left" w:pos="1701"/>
      </w:tabs>
      <w:spacing w:before="60" w:after="60"/>
      <w:ind w:left="1701" w:hanging="340"/>
    </w:pPr>
  </w:style>
  <w:style w:type="paragraph" w:styleId="ListBullet3">
    <w:name w:val="List Bullet 3"/>
    <w:basedOn w:val="List3"/>
    <w:rsid w:val="006F5E9D"/>
    <w:pPr>
      <w:numPr>
        <w:numId w:val="15"/>
      </w:numPr>
      <w:tabs>
        <w:tab w:val="clear" w:pos="1021"/>
      </w:tabs>
      <w:ind w:left="1037" w:hanging="357"/>
    </w:pPr>
  </w:style>
  <w:style w:type="paragraph" w:styleId="ListBullet4">
    <w:name w:val="List Bullet 4"/>
    <w:basedOn w:val="List4"/>
    <w:rsid w:val="006F5E9D"/>
    <w:pPr>
      <w:numPr>
        <w:numId w:val="3"/>
      </w:numPr>
    </w:pPr>
  </w:style>
  <w:style w:type="paragraph" w:styleId="ListBullet5">
    <w:name w:val="List Bullet 5"/>
    <w:basedOn w:val="List5"/>
    <w:rsid w:val="006F5E9D"/>
    <w:pPr>
      <w:numPr>
        <w:numId w:val="4"/>
      </w:numPr>
    </w:pPr>
  </w:style>
  <w:style w:type="paragraph" w:styleId="ListContinue2">
    <w:name w:val="List Continue 2"/>
    <w:basedOn w:val="List2"/>
    <w:rsid w:val="006F5E9D"/>
    <w:pPr>
      <w:ind w:firstLine="0"/>
    </w:pPr>
  </w:style>
  <w:style w:type="paragraph" w:styleId="ListContinue3">
    <w:name w:val="List Continue 3"/>
    <w:basedOn w:val="List3"/>
    <w:rsid w:val="006F5E9D"/>
    <w:pPr>
      <w:ind w:left="1021" w:firstLine="0"/>
    </w:pPr>
  </w:style>
  <w:style w:type="paragraph" w:styleId="ListContinue4">
    <w:name w:val="List Continue 4"/>
    <w:basedOn w:val="List4"/>
    <w:rsid w:val="006F5E9D"/>
    <w:pPr>
      <w:ind w:firstLine="0"/>
    </w:pPr>
  </w:style>
  <w:style w:type="paragraph" w:styleId="ListContinue5">
    <w:name w:val="List Continue 5"/>
    <w:basedOn w:val="List5"/>
    <w:rsid w:val="006F5E9D"/>
    <w:pPr>
      <w:ind w:firstLine="0"/>
    </w:pPr>
  </w:style>
  <w:style w:type="paragraph" w:styleId="ListNumber3">
    <w:name w:val="List Number 3"/>
    <w:basedOn w:val="List3"/>
    <w:rsid w:val="006F5E9D"/>
    <w:pPr>
      <w:numPr>
        <w:numId w:val="5"/>
      </w:numPr>
    </w:pPr>
  </w:style>
  <w:style w:type="paragraph" w:styleId="ListNumber4">
    <w:name w:val="List Number 4"/>
    <w:basedOn w:val="List4"/>
    <w:rsid w:val="006F5E9D"/>
    <w:pPr>
      <w:numPr>
        <w:numId w:val="6"/>
      </w:numPr>
    </w:pPr>
  </w:style>
  <w:style w:type="paragraph" w:styleId="ListNumber5">
    <w:name w:val="List Number 5"/>
    <w:basedOn w:val="List5"/>
    <w:rsid w:val="006F5E9D"/>
    <w:pPr>
      <w:numPr>
        <w:numId w:val="7"/>
      </w:numPr>
    </w:pPr>
  </w:style>
  <w:style w:type="paragraph" w:styleId="BlockText">
    <w:name w:val="Block Text"/>
    <w:basedOn w:val="Normal"/>
    <w:rsid w:val="006F5E9D"/>
    <w:pPr>
      <w:spacing w:after="120"/>
      <w:ind w:left="1440" w:right="1440"/>
    </w:pPr>
  </w:style>
  <w:style w:type="character" w:customStyle="1" w:styleId="Subscript">
    <w:name w:val="Subscript"/>
    <w:basedOn w:val="DefaultParagraphFont"/>
    <w:rsid w:val="006F5E9D"/>
    <w:rPr>
      <w:sz w:val="16"/>
      <w:vertAlign w:val="subscript"/>
    </w:rPr>
  </w:style>
  <w:style w:type="character" w:customStyle="1" w:styleId="Superscript">
    <w:name w:val="Superscript"/>
    <w:basedOn w:val="DefaultParagraphFont"/>
    <w:rsid w:val="006F5E9D"/>
    <w:rPr>
      <w:sz w:val="16"/>
      <w:vertAlign w:val="superscript"/>
    </w:rPr>
  </w:style>
  <w:style w:type="character" w:customStyle="1" w:styleId="Symbols">
    <w:name w:val="Symbols"/>
    <w:basedOn w:val="DefaultParagraphFont"/>
    <w:rsid w:val="006F5E9D"/>
    <w:rPr>
      <w:rFonts w:ascii="Symbol" w:hAnsi="Symbol"/>
    </w:rPr>
  </w:style>
  <w:style w:type="character" w:customStyle="1" w:styleId="MenuOptions">
    <w:name w:val="Menu Options"/>
    <w:basedOn w:val="DefaultParagraphFont"/>
    <w:rsid w:val="006F5E9D"/>
    <w:rPr>
      <w:rFonts w:ascii="Arial Narrow" w:hAnsi="Arial Narrow"/>
      <w:smallCaps/>
    </w:rPr>
  </w:style>
  <w:style w:type="character" w:customStyle="1" w:styleId="Buttons">
    <w:name w:val="Buttons"/>
    <w:basedOn w:val="DefaultParagraphFont"/>
    <w:rsid w:val="006F5E9D"/>
    <w:rPr>
      <w:b/>
    </w:rPr>
  </w:style>
  <w:style w:type="character" w:customStyle="1" w:styleId="Underlined">
    <w:name w:val="Underlined"/>
    <w:basedOn w:val="DefaultParagraphFont"/>
    <w:rsid w:val="006F5E9D"/>
    <w:rPr>
      <w:u w:val="single"/>
    </w:rPr>
  </w:style>
  <w:style w:type="paragraph" w:customStyle="1" w:styleId="TableBodyTextRight">
    <w:name w:val="Table Body Text Right"/>
    <w:basedOn w:val="TableBodyText"/>
    <w:rsid w:val="006F5E9D"/>
    <w:pPr>
      <w:widowControl w:val="0"/>
      <w:autoSpaceDE w:val="0"/>
      <w:autoSpaceDN w:val="0"/>
      <w:adjustRightInd w:val="0"/>
      <w:jc w:val="right"/>
    </w:pPr>
    <w:rPr>
      <w:rFonts w:cs="Arial"/>
      <w:szCs w:val="18"/>
    </w:rPr>
  </w:style>
  <w:style w:type="paragraph" w:customStyle="1" w:styleId="CopyrightText">
    <w:name w:val="Copyright Text"/>
    <w:basedOn w:val="BodyText"/>
    <w:rsid w:val="006F5E9D"/>
    <w:rPr>
      <w:sz w:val="18"/>
    </w:rPr>
  </w:style>
  <w:style w:type="paragraph" w:customStyle="1" w:styleId="BodySmallRight">
    <w:name w:val="Body Small Right"/>
    <w:basedOn w:val="BodyTextRight"/>
    <w:rsid w:val="006F5E9D"/>
    <w:rPr>
      <w:sz w:val="18"/>
      <w:szCs w:val="18"/>
    </w:rPr>
  </w:style>
  <w:style w:type="paragraph" w:customStyle="1" w:styleId="MarginEdition">
    <w:name w:val="Margin Edition"/>
    <w:basedOn w:val="MarginNote"/>
    <w:rsid w:val="006F5E9D"/>
    <w:pPr>
      <w:spacing w:before="0" w:after="0"/>
    </w:pPr>
    <w:rPr>
      <w:rFonts w:ascii="Times New Roman" w:hAnsi="Times New Roman"/>
      <w:color w:val="999999"/>
    </w:rPr>
  </w:style>
  <w:style w:type="paragraph" w:customStyle="1" w:styleId="Spacer">
    <w:name w:val="Spacer"/>
    <w:basedOn w:val="Normal"/>
    <w:rsid w:val="006F5E9D"/>
    <w:rPr>
      <w:sz w:val="2"/>
      <w:szCs w:val="2"/>
    </w:rPr>
  </w:style>
  <w:style w:type="character" w:customStyle="1" w:styleId="Small">
    <w:name w:val="Small"/>
    <w:basedOn w:val="DefaultParagraphFont"/>
    <w:rsid w:val="006F5E9D"/>
    <w:rPr>
      <w:sz w:val="16"/>
    </w:rPr>
  </w:style>
  <w:style w:type="paragraph" w:customStyle="1" w:styleId="WideTable">
    <w:name w:val="Wide Table"/>
    <w:basedOn w:val="Normal"/>
    <w:rsid w:val="006F5E9D"/>
    <w:pPr>
      <w:ind w:left="-1418"/>
    </w:pPr>
    <w:rPr>
      <w:sz w:val="2"/>
      <w:szCs w:val="2"/>
    </w:rPr>
  </w:style>
  <w:style w:type="character" w:styleId="PageNumber">
    <w:name w:val="page number"/>
    <w:basedOn w:val="DefaultParagraphFont"/>
    <w:rsid w:val="006F5E9D"/>
  </w:style>
  <w:style w:type="paragraph" w:styleId="Quote">
    <w:name w:val="Quote"/>
    <w:basedOn w:val="Heading1"/>
    <w:link w:val="QuoteChar"/>
    <w:qFormat/>
    <w:rsid w:val="006F5E9D"/>
    <w:rPr>
      <w:b w:val="0"/>
      <w:sz w:val="72"/>
      <w:szCs w:val="72"/>
      <w:lang w:val="en-NZ"/>
    </w:rPr>
  </w:style>
  <w:style w:type="character" w:customStyle="1" w:styleId="QuoteChar">
    <w:name w:val="Quote Char"/>
    <w:basedOn w:val="DefaultParagraphFont"/>
    <w:link w:val="Quote"/>
    <w:rsid w:val="006F5E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E9D"/>
    <w:pPr>
      <w:pageBreakBefore/>
    </w:pPr>
  </w:style>
  <w:style w:type="paragraph" w:customStyle="1" w:styleId="Border">
    <w:name w:val="Border"/>
    <w:basedOn w:val="Normal"/>
    <w:qFormat/>
    <w:rsid w:val="006F5E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E9D"/>
    <w:rPr>
      <w:b/>
      <w:bCs/>
      <w:i/>
      <w:iCs/>
      <w:color w:val="auto"/>
    </w:rPr>
  </w:style>
  <w:style w:type="paragraph" w:styleId="IntenseQuote">
    <w:name w:val="Intense Quote"/>
    <w:basedOn w:val="Normal"/>
    <w:next w:val="Normal"/>
    <w:link w:val="IntenseQuoteChar"/>
    <w:uiPriority w:val="30"/>
    <w:qFormat/>
    <w:rsid w:val="006F5E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E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5E9D"/>
    <w:rPr>
      <w:smallCaps/>
      <w:color w:val="auto"/>
      <w:u w:val="single"/>
    </w:rPr>
  </w:style>
  <w:style w:type="character" w:styleId="IntenseReference">
    <w:name w:val="Intense Reference"/>
    <w:basedOn w:val="DefaultParagraphFont"/>
    <w:uiPriority w:val="32"/>
    <w:qFormat/>
    <w:rsid w:val="006F5E9D"/>
    <w:rPr>
      <w:b/>
      <w:bCs/>
      <w:smallCaps/>
      <w:color w:val="auto"/>
      <w:spacing w:val="5"/>
      <w:u w:val="single"/>
    </w:rPr>
  </w:style>
  <w:style w:type="paragraph" w:customStyle="1" w:styleId="2ColumnHeading">
    <w:name w:val="2Column Heading"/>
    <w:basedOn w:val="BodyText"/>
    <w:qFormat/>
    <w:rsid w:val="006F5E9D"/>
    <w:pPr>
      <w:spacing w:after="60"/>
      <w:ind w:left="-2268"/>
    </w:pPr>
    <w:rPr>
      <w:b/>
    </w:rPr>
  </w:style>
  <w:style w:type="paragraph" w:customStyle="1" w:styleId="Heading1TOC">
    <w:name w:val="Heading1 TOC"/>
    <w:basedOn w:val="Normal"/>
    <w:qFormat/>
    <w:rsid w:val="006F5E9D"/>
    <w:pPr>
      <w:spacing w:before="240" w:after="120"/>
    </w:pPr>
    <w:rPr>
      <w:rFonts w:ascii="Times New Roman" w:hAnsi="Times New Roman"/>
      <w:b/>
      <w:sz w:val="32"/>
    </w:rPr>
  </w:style>
  <w:style w:type="paragraph" w:customStyle="1" w:styleId="Heading2TOC">
    <w:name w:val="Heading2 TOC"/>
    <w:basedOn w:val="Normal"/>
    <w:qFormat/>
    <w:rsid w:val="006F5E9D"/>
    <w:pPr>
      <w:spacing w:before="240" w:after="60"/>
    </w:pPr>
    <w:rPr>
      <w:rFonts w:ascii="Times New Roman" w:hAnsi="Times New Roman"/>
      <w:b/>
      <w:sz w:val="28"/>
    </w:rPr>
  </w:style>
  <w:style w:type="character" w:customStyle="1" w:styleId="Underline">
    <w:name w:val="Underline"/>
    <w:basedOn w:val="DefaultParagraphFont"/>
    <w:qFormat/>
    <w:rsid w:val="006F5E9D"/>
    <w:rPr>
      <w:u w:val="single"/>
    </w:rPr>
  </w:style>
  <w:style w:type="character" w:customStyle="1" w:styleId="BoldandItalics">
    <w:name w:val="Bold and Italics"/>
    <w:qFormat/>
    <w:rsid w:val="006F5E9D"/>
    <w:rPr>
      <w:b/>
      <w:i/>
      <w:u w:val="none"/>
    </w:rPr>
  </w:style>
  <w:style w:type="paragraph" w:styleId="BalloonText">
    <w:name w:val="Balloon Text"/>
    <w:basedOn w:val="Normal"/>
    <w:link w:val="BalloonTextChar"/>
    <w:rsid w:val="006F5E9D"/>
    <w:rPr>
      <w:rFonts w:ascii="Tahoma" w:hAnsi="Tahoma" w:cs="Tahoma"/>
      <w:sz w:val="16"/>
      <w:szCs w:val="16"/>
    </w:rPr>
  </w:style>
  <w:style w:type="character" w:customStyle="1" w:styleId="BalloonTextChar">
    <w:name w:val="Balloon Text Char"/>
    <w:basedOn w:val="DefaultParagraphFont"/>
    <w:link w:val="BalloonText"/>
    <w:rsid w:val="006F5E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5E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5E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5E9D"/>
    <w:rPr>
      <w:b/>
      <w:color w:val="660033"/>
      <w:spacing w:val="0"/>
    </w:rPr>
  </w:style>
  <w:style w:type="paragraph" w:customStyle="1" w:styleId="Nameditemlist">
    <w:name w:val="Named item list"/>
    <w:basedOn w:val="BodyText"/>
    <w:qFormat/>
    <w:rsid w:val="006F5E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1916</Words>
  <Characters>11944</Characters>
  <Application>Microsoft Office Word</Application>
  <DocSecurity>0</DocSecurity>
  <Lines>422</Lines>
  <Paragraphs>187</Paragraphs>
  <ScaleCrop>false</ScaleCrop>
  <Company>Author-it Software Corporation Ltd.</Company>
  <LinksUpToDate>false</LinksUpToDate>
  <CharactersWithSpaces>13738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UEPOPS511B Tune process plant and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2012-07-25T17:08:00Z</dcterms:created>
  <dcterms:modified xsi:type="dcterms:W3CDTF">2012-07-25T17:08:00Z</dcterms:modified>
</cp:coreProperties>
</file>