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10DB" w:rsidP="004410DB">
      <w:pPr>
        <w:pStyle w:val="Title"/>
      </w:pPr>
      <w:bookmarkStart w:id="0" w:name="_GoBack"/>
      <w:bookmarkEnd w:id="0"/>
      <w:r>
        <w:fldChar w:fldCharType="begin"/>
      </w:r>
      <w:r>
        <w:instrText xml:space="preserve"> TITLE   \* MERGEFORMAT </w:instrText>
      </w:r>
      <w:r>
        <w:fldChar w:fldCharType="separate"/>
      </w:r>
      <w:r>
        <w:t>UEPOPS431B Collect and analyse hydrological and meteorological data</w:t>
      </w:r>
      <w:r>
        <w:fldChar w:fldCharType="end"/>
      </w:r>
    </w:p>
    <w:p w:rsidR="004410DB" w:rsidP="004410DB">
      <w:pPr>
        <w:pStyle w:val="Version"/>
        <w:sectPr w:rsidSect="00B829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291E" w:rsidP="00B8291E">
      <w:pPr>
        <w:pStyle w:val="SuperHeading"/>
      </w:pPr>
      <w:r w:rsidRPr="00B8291E">
        <w:t>UEPOPS431B Collect and analyse hydrological and meteorological data</w:t>
      </w:r>
    </w:p>
    <w:p w:rsidR="00000000" w:rsidRPr="00B8291E" w:rsidP="00B8291E">
      <w:pPr>
        <w:pStyle w:val="Heading1"/>
      </w:pPr>
      <w:bookmarkStart w:id="1" w:name="O_475799"/>
      <w:bookmarkEnd w:id="1"/>
      <w:r w:rsidRPr="00B8291E">
        <w:t>Modification History</w:t>
      </w:r>
    </w:p>
    <w:p w:rsidR="00000000" w:rsidRPr="00B8291E" w:rsidP="00B8291E">
      <w:pPr>
        <w:pStyle w:val="BodyText"/>
      </w:pPr>
      <w:r w:rsidRPr="00B8291E">
        <w:t>Not applicable.</w:t>
      </w:r>
    </w:p>
    <w:p w:rsidR="00000000" w:rsidRPr="00B8291E" w:rsidP="00B8291E">
      <w:pPr>
        <w:pStyle w:val="AllowPageBreak"/>
      </w:pPr>
    </w:p>
    <w:p w:rsidR="00000000" w:rsidRPr="00B8291E" w:rsidP="00B8291E">
      <w:pPr>
        <w:pStyle w:val="Heading1"/>
      </w:pPr>
      <w:bookmarkStart w:id="2" w:name="O_475797"/>
      <w:bookmarkEnd w:id="2"/>
      <w:r w:rsidRPr="00B8291E">
        <w:t>Unit Descriptor</w:t>
      </w:r>
    </w:p>
    <w:tbl>
      <w:tblPr>
        <w:tblW w:w="0" w:type="auto"/>
        <w:tblLayout w:type="fixed"/>
        <w:tblCellMar>
          <w:left w:w="62" w:type="dxa"/>
          <w:right w:w="62" w:type="dxa"/>
        </w:tblCellMar>
        <w:tblLook w:val="0000"/>
      </w:tblPr>
      <w:tblGrid>
        <w:gridCol w:w="2700"/>
        <w:gridCol w:w="5760"/>
      </w:tblGrid>
      <w:tr w:rsidTr="004410D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8291E" w:rsidP="00B8291E">
            <w:pPr>
              <w:pStyle w:val="BodyText"/>
            </w:pPr>
            <w:r w:rsidRPr="00B8291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8291E">
            <w:pPr>
              <w:pStyle w:val="BodyText"/>
              <w:rPr>
                <w:lang w:val="en-NZ"/>
              </w:rPr>
            </w:pPr>
            <w:r w:rsidRPr="00B8291E">
              <w:rPr>
                <w:rStyle w:val="SpecialBold"/>
              </w:rPr>
              <w:t>1)</w:t>
            </w:r>
            <w:r w:rsidRPr="00B8291E">
              <w:t xml:space="preserve"> </w:t>
            </w:r>
            <w:r w:rsidRPr="00B8291E">
              <w:rPr>
                <w:rStyle w:val="SpecialBold"/>
              </w:rPr>
              <w:t>Scope:</w:t>
            </w:r>
          </w:p>
        </w:tc>
      </w:tr>
      <w:tr w:rsidTr="004410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8291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8291E">
            <w:pPr>
              <w:pStyle w:val="BodyText"/>
              <w:rPr>
                <w:lang w:val="en-NZ"/>
              </w:rPr>
            </w:pPr>
            <w:r w:rsidRPr="00B8291E">
              <w:rPr>
                <w:rStyle w:val="SpecialBold"/>
              </w:rPr>
              <w:t>1.1) Descriptor</w:t>
            </w:r>
          </w:p>
        </w:tc>
      </w:tr>
      <w:tr w:rsidTr="004410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8291E" w:rsidP="00B8291E">
            <w:pPr>
              <w:pStyle w:val="BodyText"/>
            </w:pPr>
            <w:r w:rsidRPr="00B8291E">
              <w:t>This unit deals with the skills and knowledge required to predict and determine inflows in catchment areas.</w:t>
            </w:r>
          </w:p>
        </w:tc>
      </w:tr>
    </w:tbl>
    <w:p w:rsidR="00000000" w:rsidRPr="00B8291E" w:rsidP="00B8291E">
      <w:pPr>
        <w:pStyle w:val="BodyText"/>
      </w:pPr>
    </w:p>
    <w:p w:rsidR="00000000" w:rsidRPr="00B8291E" w:rsidP="00B8291E">
      <w:pPr>
        <w:pStyle w:val="AllowPageBreak"/>
      </w:pPr>
    </w:p>
    <w:p w:rsidR="00000000" w:rsidRPr="00B8291E" w:rsidP="00B8291E">
      <w:pPr>
        <w:pStyle w:val="Heading1"/>
      </w:pPr>
      <w:bookmarkStart w:id="3" w:name="O_475786"/>
      <w:bookmarkEnd w:id="3"/>
      <w:r w:rsidRPr="00B8291E">
        <w:t>Application of the Unit</w:t>
      </w:r>
    </w:p>
    <w:tbl>
      <w:tblPr>
        <w:tblW w:w="0" w:type="auto"/>
        <w:tblLayout w:type="fixed"/>
        <w:tblCellMar>
          <w:left w:w="62" w:type="dxa"/>
          <w:right w:w="62" w:type="dxa"/>
        </w:tblCellMar>
        <w:tblLook w:val="0000"/>
      </w:tblPr>
      <w:tblGrid>
        <w:gridCol w:w="2672"/>
        <w:gridCol w:w="5699"/>
      </w:tblGrid>
      <w:tr w:rsidTr="004410D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B8291E" w:rsidP="00B8291E">
            <w:pPr>
              <w:pStyle w:val="BodyText"/>
            </w:pPr>
            <w:r w:rsidRPr="00B8291E">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B8291E">
            <w:pPr>
              <w:pStyle w:val="BodyText"/>
              <w:rPr>
                <w:lang w:val="en-NZ"/>
              </w:rPr>
            </w:pPr>
            <w:r w:rsidRPr="00B8291E">
              <w:rPr>
                <w:rStyle w:val="SpecialBold"/>
              </w:rPr>
              <w:t>2)</w:t>
            </w:r>
          </w:p>
        </w:tc>
      </w:tr>
      <w:tr w:rsidTr="004410D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B8291E" w:rsidP="00B8291E">
            <w:pPr>
              <w:pStyle w:val="BodyText"/>
            </w:pPr>
            <w:r w:rsidRPr="00B8291E">
              <w:t>This competency standards unit shall apply to catchment areas within a hydro-powered electricity generation system.</w:t>
            </w:r>
          </w:p>
          <w:p w:rsidR="00000000" w:rsidRPr="00B8291E" w:rsidP="00B8291E">
            <w:pPr>
              <w:pStyle w:val="BodyText"/>
            </w:pPr>
            <w:r w:rsidRPr="00B8291E">
              <w:t xml:space="preserve">This unit is intended to augment formally acquired competencies. It is suitable for employment-based programs under an approved contract of </w:t>
            </w:r>
            <w:r w:rsidRPr="00B8291E">
              <w:t>training.</w:t>
            </w:r>
          </w:p>
        </w:tc>
      </w:tr>
    </w:tbl>
    <w:p w:rsidR="00000000" w:rsidRPr="00B8291E" w:rsidP="00B8291E">
      <w:pPr>
        <w:pStyle w:val="BodyText"/>
      </w:pPr>
    </w:p>
    <w:p w:rsidR="00000000" w:rsidRPr="00B8291E" w:rsidP="00B8291E">
      <w:pPr>
        <w:pStyle w:val="AllowPageBreak"/>
      </w:pPr>
    </w:p>
    <w:p w:rsidR="00000000" w:rsidRPr="00B8291E" w:rsidP="00B8291E">
      <w:pPr>
        <w:pStyle w:val="Heading1"/>
      </w:pPr>
      <w:bookmarkStart w:id="4" w:name="O_475793"/>
      <w:bookmarkEnd w:id="4"/>
      <w:r w:rsidRPr="00B8291E">
        <w:t>Licensing/Regulatory Information</w:t>
      </w:r>
    </w:p>
    <w:tbl>
      <w:tblPr>
        <w:tblW w:w="0" w:type="auto"/>
        <w:tblLayout w:type="fixed"/>
        <w:tblCellMar>
          <w:left w:w="62" w:type="dxa"/>
          <w:right w:w="62" w:type="dxa"/>
        </w:tblCellMar>
        <w:tblLook w:val="0000"/>
      </w:tblPr>
      <w:tblGrid>
        <w:gridCol w:w="2700"/>
        <w:gridCol w:w="5760"/>
      </w:tblGrid>
      <w:tr w:rsidTr="004410D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8291E" w:rsidP="00B8291E">
            <w:pPr>
              <w:pStyle w:val="BodyText"/>
            </w:pPr>
            <w:r w:rsidRPr="00B8291E">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B8291E">
            <w:pPr>
              <w:pStyle w:val="BodyText"/>
              <w:rPr>
                <w:lang w:val="en-NZ"/>
              </w:rPr>
            </w:pPr>
            <w:r w:rsidRPr="00B8291E">
              <w:rPr>
                <w:rStyle w:val="SpecialBold"/>
              </w:rPr>
              <w:t xml:space="preserve">3) </w:t>
            </w:r>
          </w:p>
        </w:tc>
      </w:tr>
      <w:tr w:rsidTr="004410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8291E" w:rsidP="00B8291E">
            <w:pPr>
              <w:pStyle w:val="BodyText"/>
            </w:pPr>
            <w:r w:rsidRPr="00B8291E">
              <w:t>The skills and knowledge described in this unit do not require a licence to practise in the workplace. However, practice in this unit is subject to regulations directly</w:t>
            </w:r>
            <w:r w:rsidRPr="00B8291E">
              <w:t xml:space="preserve"> related to Occupational Health and Safety and where applicable contracts of training such as apprenticeships and the like.</w:t>
            </w:r>
          </w:p>
        </w:tc>
      </w:tr>
    </w:tbl>
    <w:p w:rsidR="00000000" w:rsidRPr="00B8291E" w:rsidP="00B8291E">
      <w:pPr>
        <w:pStyle w:val="BodyText"/>
      </w:pPr>
    </w:p>
    <w:p w:rsidR="00000000" w:rsidRPr="00B8291E" w:rsidP="00B8291E">
      <w:pPr>
        <w:pStyle w:val="AllowPageBreak"/>
      </w:pPr>
    </w:p>
    <w:p w:rsidR="00000000" w:rsidRPr="00B8291E" w:rsidP="00B8291E">
      <w:pPr>
        <w:pStyle w:val="Heading1"/>
      </w:pPr>
      <w:bookmarkStart w:id="5" w:name="O_475794"/>
      <w:bookmarkEnd w:id="5"/>
      <w:r w:rsidRPr="00B8291E">
        <w:t>Pre-Requisites</w:t>
      </w:r>
    </w:p>
    <w:tbl>
      <w:tblPr>
        <w:tblW w:w="0" w:type="auto"/>
        <w:tblLayout w:type="fixed"/>
        <w:tblCellMar>
          <w:left w:w="62" w:type="dxa"/>
          <w:right w:w="62" w:type="dxa"/>
        </w:tblCellMar>
        <w:tblLook w:val="0000"/>
      </w:tblPr>
      <w:tblGrid>
        <w:gridCol w:w="2700"/>
        <w:gridCol w:w="2068"/>
        <w:gridCol w:w="3696"/>
      </w:tblGrid>
      <w:tr w:rsidTr="004410D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8291E" w:rsidP="00B8291E">
            <w:pPr>
              <w:pStyle w:val="BodyText"/>
            </w:pPr>
            <w:r w:rsidRPr="00B8291E">
              <w:rPr>
                <w:rStyle w:val="SpecialBold"/>
              </w:rPr>
              <w:t>Prerequisite Unit(s)</w:t>
            </w:r>
          </w:p>
        </w:tc>
        <w:tc>
          <w:tcPr>
            <w:tcW w:w="5764" w:type="dxa"/>
            <w:gridSpan w:val="2"/>
            <w:tcBorders>
              <w:top w:val="nil"/>
              <w:left w:val="nil"/>
              <w:bottom w:val="nil"/>
              <w:right w:val="nil"/>
            </w:tcBorders>
            <w:tcMar>
              <w:top w:w="0" w:type="dxa"/>
              <w:left w:w="62" w:type="dxa"/>
              <w:bottom w:w="0" w:type="dxa"/>
              <w:right w:w="62" w:type="dxa"/>
            </w:tcMar>
          </w:tcPr>
          <w:p w:rsidR="00000000" w:rsidP="00B8291E">
            <w:pPr>
              <w:pStyle w:val="BodyText"/>
              <w:rPr>
                <w:lang w:val="en-NZ"/>
              </w:rPr>
            </w:pPr>
            <w:r w:rsidRPr="00B8291E">
              <w:rPr>
                <w:rStyle w:val="SpecialBold"/>
              </w:rPr>
              <w:t xml:space="preserve">4) </w:t>
            </w:r>
          </w:p>
        </w:tc>
      </w:tr>
      <w:tr w:rsidTr="004410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8291E" w:rsidP="00B8291E">
            <w:pPr>
              <w:pStyle w:val="BodyText"/>
            </w:pPr>
            <w:r w:rsidRPr="00B8291E">
              <w:rPr>
                <w:rStyle w:val="SpecialBold"/>
              </w:rPr>
              <w:t>Competencies</w:t>
            </w:r>
          </w:p>
        </w:tc>
        <w:tc>
          <w:tcPr>
            <w:tcW w:w="5764" w:type="dxa"/>
            <w:gridSpan w:val="2"/>
            <w:tcBorders>
              <w:top w:val="nil"/>
              <w:left w:val="nil"/>
              <w:bottom w:val="nil"/>
              <w:right w:val="nil"/>
            </w:tcBorders>
            <w:tcMar>
              <w:top w:w="0" w:type="dxa"/>
              <w:left w:w="62" w:type="dxa"/>
              <w:bottom w:w="0" w:type="dxa"/>
              <w:right w:w="62" w:type="dxa"/>
            </w:tcMar>
          </w:tcPr>
          <w:p w:rsidR="00000000" w:rsidP="00B8291E">
            <w:pPr>
              <w:pStyle w:val="BodyText"/>
              <w:rPr>
                <w:lang w:val="en-NZ"/>
              </w:rPr>
            </w:pPr>
            <w:r w:rsidRPr="00B8291E">
              <w:rPr>
                <w:rStyle w:val="SpecialBold"/>
              </w:rPr>
              <w:t>4.1)</w:t>
            </w:r>
          </w:p>
        </w:tc>
      </w:tr>
      <w:tr w:rsidTr="004410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2"/>
            <w:tcBorders>
              <w:top w:val="nil"/>
              <w:left w:val="nil"/>
              <w:bottom w:val="nil"/>
              <w:right w:val="nil"/>
            </w:tcBorders>
            <w:tcMar>
              <w:top w:w="0" w:type="dxa"/>
              <w:left w:w="62" w:type="dxa"/>
              <w:bottom w:w="0" w:type="dxa"/>
              <w:right w:w="62" w:type="dxa"/>
            </w:tcMar>
          </w:tcPr>
          <w:p w:rsidR="00000000" w:rsidRPr="00B8291E" w:rsidP="00B8291E">
            <w:pPr>
              <w:pStyle w:val="BodyText"/>
            </w:pPr>
            <w:r w:rsidRPr="00B8291E">
              <w:t>Granting of competency in this unit shall be made only after competency in the following unit(s) has/have been confirmed.</w:t>
            </w:r>
          </w:p>
          <w:p w:rsidR="00000000" w:rsidRPr="00B8291E" w:rsidP="00B8291E">
            <w:pPr>
              <w:pStyle w:val="BodyText"/>
            </w:pPr>
            <w:r w:rsidRPr="00B8291E">
              <w:t>Where pre-requisite pathways have been identified. All competencies in the Common Unit Group must be have been completed.</w:t>
            </w:r>
          </w:p>
          <w:p w:rsidR="00000000" w:rsidP="00B8291E">
            <w:pPr>
              <w:pStyle w:val="BodyText"/>
              <w:rPr>
                <w:lang w:val="en-NZ"/>
              </w:rPr>
            </w:pPr>
            <w:r w:rsidRPr="00B8291E">
              <w:t xml:space="preserve">Common Unit </w:t>
            </w:r>
            <w:r w:rsidRPr="00B8291E">
              <w:t>Group</w:t>
            </w:r>
          </w:p>
        </w:tc>
      </w:tr>
      <w:tr w:rsidTr="004410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B8291E">
            <w:pPr>
              <w:pStyle w:val="BodyText"/>
              <w:rPr>
                <w:lang w:val="en-NZ"/>
              </w:rPr>
            </w:pPr>
            <w:r w:rsidRPr="00B8291E">
              <w:t>Unit Code</w:t>
            </w:r>
            <w:r w:rsidRPr="00B8291E">
              <w:tab/>
            </w:r>
          </w:p>
        </w:tc>
        <w:tc>
          <w:tcPr>
            <w:tcW w:w="3696" w:type="dxa"/>
            <w:tcBorders>
              <w:top w:val="nil"/>
              <w:left w:val="nil"/>
              <w:bottom w:val="nil"/>
              <w:right w:val="nil"/>
            </w:tcBorders>
            <w:tcMar>
              <w:top w:w="0" w:type="dxa"/>
              <w:left w:w="62" w:type="dxa"/>
              <w:bottom w:w="0" w:type="dxa"/>
              <w:right w:w="62" w:type="dxa"/>
            </w:tcMar>
          </w:tcPr>
          <w:p w:rsidR="00000000" w:rsidP="00B8291E">
            <w:pPr>
              <w:pStyle w:val="BodyText"/>
              <w:rPr>
                <w:lang w:val="en-NZ"/>
              </w:rPr>
            </w:pPr>
            <w:r w:rsidRPr="00B8291E">
              <w:t>Unit Title</w:t>
            </w:r>
          </w:p>
        </w:tc>
      </w:tr>
      <w:tr w:rsidTr="004410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B8291E">
            <w:pPr>
              <w:pStyle w:val="BodyText"/>
              <w:rPr>
                <w:lang w:val="en-NZ"/>
              </w:rPr>
            </w:pPr>
            <w:r w:rsidRPr="00B8291E">
              <w:t>UEPOPS209B</w:t>
            </w:r>
          </w:p>
        </w:tc>
        <w:tc>
          <w:tcPr>
            <w:tcW w:w="3696" w:type="dxa"/>
            <w:tcBorders>
              <w:top w:val="nil"/>
              <w:left w:val="nil"/>
              <w:bottom w:val="nil"/>
              <w:right w:val="nil"/>
            </w:tcBorders>
            <w:tcMar>
              <w:top w:w="0" w:type="dxa"/>
              <w:left w:w="62" w:type="dxa"/>
              <w:bottom w:w="0" w:type="dxa"/>
              <w:right w:w="62" w:type="dxa"/>
            </w:tcMar>
          </w:tcPr>
          <w:p w:rsidR="00000000" w:rsidRPr="00B8291E" w:rsidP="00B8291E">
            <w:pPr>
              <w:pStyle w:val="BodyText"/>
            </w:pPr>
            <w:r w:rsidRPr="00B8291E">
              <w:t>Perform process plant inspection</w:t>
            </w:r>
          </w:p>
        </w:tc>
      </w:tr>
    </w:tbl>
    <w:p w:rsidR="00000000" w:rsidRPr="00B8291E" w:rsidP="00B8291E">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4410DB">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B8291E" w:rsidP="00B8291E">
            <w:pPr>
              <w:pStyle w:val="BodyText"/>
            </w:pPr>
            <w:r w:rsidRPr="00B8291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B8291E">
            <w:pPr>
              <w:pStyle w:val="BodyText"/>
              <w:rPr>
                <w:lang w:val="en-NZ"/>
              </w:rPr>
            </w:pPr>
            <w:r w:rsidRPr="00B8291E">
              <w:rPr>
                <w:rStyle w:val="SpecialBold"/>
              </w:rPr>
              <w:t xml:space="preserve">4.2) </w:t>
            </w:r>
          </w:p>
        </w:tc>
      </w:tr>
      <w:tr w:rsidTr="004410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B8291E">
            <w:pPr>
              <w:pStyle w:val="BodyText"/>
              <w:rPr>
                <w:lang w:val="en-NZ"/>
              </w:rPr>
            </w:pPr>
            <w:r w:rsidRPr="00B8291E">
              <w:t>Participants are best equipped to achieve this unit if they have reading, writing and numeracy skills indicated by the following levels. A description of what each level entails is provided in Section 2.3.1 Language, Literacy and Numeracy.</w:t>
            </w:r>
          </w:p>
        </w:tc>
      </w:tr>
      <w:tr w:rsidTr="004410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8291E">
            <w:pPr>
              <w:pStyle w:val="BodyText"/>
              <w:rPr>
                <w:lang w:val="en-NZ"/>
              </w:rPr>
            </w:pPr>
            <w:r w:rsidRPr="00B8291E">
              <w:t>Reading</w:t>
            </w:r>
          </w:p>
        </w:tc>
        <w:tc>
          <w:tcPr>
            <w:tcW w:w="810" w:type="dxa"/>
            <w:tcBorders>
              <w:top w:val="nil"/>
              <w:left w:val="nil"/>
              <w:bottom w:val="nil"/>
              <w:right w:val="nil"/>
            </w:tcBorders>
            <w:tcMar>
              <w:top w:w="0" w:type="dxa"/>
              <w:left w:w="62" w:type="dxa"/>
              <w:bottom w:w="0" w:type="dxa"/>
              <w:right w:w="62" w:type="dxa"/>
            </w:tcMar>
          </w:tcPr>
          <w:p w:rsidR="00000000" w:rsidP="00B8291E">
            <w:pPr>
              <w:pStyle w:val="BodyText"/>
              <w:rPr>
                <w:lang w:val="en-NZ"/>
              </w:rPr>
            </w:pPr>
            <w:r w:rsidRPr="00B8291E">
              <w:t>4</w:t>
            </w:r>
          </w:p>
        </w:tc>
        <w:tc>
          <w:tcPr>
            <w:tcW w:w="990" w:type="dxa"/>
            <w:tcBorders>
              <w:top w:val="nil"/>
              <w:left w:val="nil"/>
              <w:bottom w:val="nil"/>
              <w:right w:val="nil"/>
            </w:tcBorders>
            <w:tcMar>
              <w:top w:w="0" w:type="dxa"/>
              <w:left w:w="62" w:type="dxa"/>
              <w:bottom w:w="0" w:type="dxa"/>
              <w:right w:w="62" w:type="dxa"/>
            </w:tcMar>
          </w:tcPr>
          <w:p w:rsidR="00000000" w:rsidP="00B8291E">
            <w:pPr>
              <w:pStyle w:val="BodyText"/>
              <w:rPr>
                <w:lang w:val="en-NZ"/>
              </w:rPr>
            </w:pPr>
            <w:r w:rsidRPr="00B8291E">
              <w:t>Writing</w:t>
            </w:r>
          </w:p>
        </w:tc>
        <w:tc>
          <w:tcPr>
            <w:tcW w:w="900" w:type="dxa"/>
            <w:tcBorders>
              <w:top w:val="nil"/>
              <w:left w:val="nil"/>
              <w:bottom w:val="nil"/>
              <w:right w:val="nil"/>
            </w:tcBorders>
            <w:tcMar>
              <w:top w:w="0" w:type="dxa"/>
              <w:left w:w="62" w:type="dxa"/>
              <w:bottom w:w="0" w:type="dxa"/>
              <w:right w:w="62" w:type="dxa"/>
            </w:tcMar>
          </w:tcPr>
          <w:p w:rsidR="00000000" w:rsidP="00B8291E">
            <w:pPr>
              <w:pStyle w:val="BodyText"/>
              <w:rPr>
                <w:lang w:val="en-NZ"/>
              </w:rPr>
            </w:pPr>
            <w:r w:rsidRPr="00B8291E">
              <w:t>4</w:t>
            </w:r>
          </w:p>
        </w:tc>
        <w:tc>
          <w:tcPr>
            <w:tcW w:w="1260" w:type="dxa"/>
            <w:tcBorders>
              <w:top w:val="nil"/>
              <w:left w:val="nil"/>
              <w:bottom w:val="nil"/>
              <w:right w:val="nil"/>
            </w:tcBorders>
            <w:tcMar>
              <w:top w:w="0" w:type="dxa"/>
              <w:left w:w="62" w:type="dxa"/>
              <w:bottom w:w="0" w:type="dxa"/>
              <w:right w:w="62" w:type="dxa"/>
            </w:tcMar>
          </w:tcPr>
          <w:p w:rsidR="00000000" w:rsidP="00B8291E">
            <w:pPr>
              <w:pStyle w:val="BodyText"/>
              <w:rPr>
                <w:lang w:val="en-NZ"/>
              </w:rPr>
            </w:pPr>
            <w:r w:rsidRPr="00B8291E">
              <w:t>Numeracy</w:t>
            </w:r>
          </w:p>
        </w:tc>
        <w:tc>
          <w:tcPr>
            <w:tcW w:w="720" w:type="dxa"/>
            <w:tcBorders>
              <w:top w:val="nil"/>
              <w:left w:val="nil"/>
              <w:bottom w:val="nil"/>
              <w:right w:val="nil"/>
            </w:tcBorders>
            <w:tcMar>
              <w:top w:w="0" w:type="dxa"/>
              <w:left w:w="62" w:type="dxa"/>
              <w:bottom w:w="0" w:type="dxa"/>
              <w:right w:w="62" w:type="dxa"/>
            </w:tcMar>
          </w:tcPr>
          <w:p w:rsidR="00000000" w:rsidRPr="00B8291E" w:rsidP="00B8291E">
            <w:pPr>
              <w:pStyle w:val="BodyText"/>
            </w:pPr>
            <w:r w:rsidRPr="00B8291E">
              <w:t>4</w:t>
            </w:r>
          </w:p>
        </w:tc>
      </w:tr>
    </w:tbl>
    <w:p w:rsidR="00000000" w:rsidRPr="00B8291E" w:rsidP="00B8291E">
      <w:pPr>
        <w:pStyle w:val="BodyText"/>
      </w:pPr>
    </w:p>
    <w:p w:rsidR="00000000" w:rsidRPr="00B8291E" w:rsidP="00B8291E">
      <w:pPr>
        <w:pStyle w:val="AllowPageBreak"/>
      </w:pPr>
    </w:p>
    <w:p w:rsidR="00000000" w:rsidRPr="00B8291E" w:rsidP="00B8291E">
      <w:pPr>
        <w:pStyle w:val="Heading1"/>
      </w:pPr>
      <w:bookmarkStart w:id="6" w:name="O_475790"/>
      <w:bookmarkEnd w:id="6"/>
      <w:r w:rsidRPr="00B8291E">
        <w:t>Employability Skills Information</w:t>
      </w:r>
    </w:p>
    <w:tbl>
      <w:tblPr>
        <w:tblW w:w="0" w:type="auto"/>
        <w:tblLayout w:type="fixed"/>
        <w:tblCellMar>
          <w:left w:w="62" w:type="dxa"/>
          <w:right w:w="62" w:type="dxa"/>
        </w:tblCellMar>
        <w:tblLook w:val="0000"/>
      </w:tblPr>
      <w:tblGrid>
        <w:gridCol w:w="2700"/>
        <w:gridCol w:w="5760"/>
      </w:tblGrid>
      <w:tr w:rsidTr="004410D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8291E" w:rsidP="00B8291E">
            <w:pPr>
              <w:pStyle w:val="BodyText"/>
            </w:pPr>
            <w:r w:rsidRPr="00B8291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B8291E">
            <w:pPr>
              <w:pStyle w:val="BodyText"/>
              <w:rPr>
                <w:lang w:val="en-NZ"/>
              </w:rPr>
            </w:pPr>
            <w:r w:rsidRPr="00B8291E">
              <w:rPr>
                <w:rStyle w:val="SpecialBold"/>
              </w:rPr>
              <w:t xml:space="preserve">5) </w:t>
            </w:r>
          </w:p>
        </w:tc>
      </w:tr>
      <w:tr w:rsidTr="004410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8291E" w:rsidP="00B8291E">
            <w:pPr>
              <w:pStyle w:val="BodyText"/>
            </w:pPr>
            <w:r w:rsidRPr="00B8291E">
              <w:t xml:space="preserve">The required outcomes described in this unit of competency contain applicable facets of Employability Skills. The Employability Skills Summary </w:t>
            </w:r>
            <w:r w:rsidRPr="00B8291E">
              <w:t>of the qualification in which this unit of competency is packaged will assist in identifying Employability Skill requirements.</w:t>
            </w:r>
          </w:p>
        </w:tc>
      </w:tr>
    </w:tbl>
    <w:p w:rsidR="00000000" w:rsidRPr="00B8291E" w:rsidP="00B8291E">
      <w:pPr>
        <w:pStyle w:val="BodyText"/>
      </w:pPr>
    </w:p>
    <w:p w:rsidR="00000000" w:rsidRPr="00B8291E" w:rsidP="00B8291E">
      <w:pPr>
        <w:pStyle w:val="AllowPageBreak"/>
      </w:pPr>
    </w:p>
    <w:p w:rsidR="00000000" w:rsidRPr="00B8291E" w:rsidP="00B8291E">
      <w:pPr>
        <w:pStyle w:val="Heading1"/>
      </w:pPr>
      <w:bookmarkStart w:id="7" w:name="O_475789"/>
      <w:bookmarkEnd w:id="7"/>
      <w:r w:rsidRPr="00B8291E">
        <w:t>Elements and Performance Criteria Pre-Content</w:t>
      </w:r>
    </w:p>
    <w:tbl>
      <w:tblPr>
        <w:tblW w:w="0" w:type="auto"/>
        <w:tblLayout w:type="fixed"/>
        <w:tblCellMar>
          <w:left w:w="62" w:type="dxa"/>
          <w:right w:w="62" w:type="dxa"/>
        </w:tblCellMar>
        <w:tblLook w:val="0000"/>
      </w:tblPr>
      <w:tblGrid>
        <w:gridCol w:w="2700"/>
        <w:gridCol w:w="5760"/>
      </w:tblGrid>
      <w:tr w:rsidTr="004410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8291E">
            <w:pPr>
              <w:pStyle w:val="BodyText"/>
              <w:rPr>
                <w:lang w:val="en-NZ"/>
              </w:rPr>
            </w:pPr>
            <w:r w:rsidRPr="00B8291E">
              <w:rPr>
                <w:rStyle w:val="SpecialBold"/>
              </w:rPr>
              <w:t>6)</w:t>
            </w:r>
            <w:r w:rsidRPr="00B8291E">
              <w:t xml:space="preserve"> Elements describe the essential outcomes of a competency stan</w:t>
            </w:r>
            <w:r w:rsidRPr="00B8291E">
              <w:t>dard unit</w:t>
            </w:r>
          </w:p>
        </w:tc>
        <w:tc>
          <w:tcPr>
            <w:tcW w:w="5760" w:type="dxa"/>
            <w:tcBorders>
              <w:top w:val="nil"/>
              <w:left w:val="nil"/>
              <w:bottom w:val="nil"/>
              <w:right w:val="nil"/>
            </w:tcBorders>
            <w:tcMar>
              <w:top w:w="0" w:type="dxa"/>
              <w:left w:w="62" w:type="dxa"/>
              <w:bottom w:w="0" w:type="dxa"/>
              <w:right w:w="62" w:type="dxa"/>
            </w:tcMar>
          </w:tcPr>
          <w:p w:rsidR="00000000" w:rsidRPr="00B8291E" w:rsidP="00B8291E">
            <w:pPr>
              <w:pStyle w:val="BodyText"/>
            </w:pPr>
            <w:r w:rsidRPr="00B8291E">
              <w:t>Performance Criteria describe the required performance needed to demonstrate achievement of the element. Assessment of performance is to be consistent with the Evidence Guide.</w:t>
            </w:r>
          </w:p>
        </w:tc>
      </w:tr>
    </w:tbl>
    <w:p w:rsidR="00000000" w:rsidRPr="00B8291E" w:rsidP="00B8291E">
      <w:pPr>
        <w:pStyle w:val="BodyText"/>
      </w:pPr>
    </w:p>
    <w:p w:rsidR="00000000" w:rsidRPr="00B8291E" w:rsidP="00B8291E">
      <w:pPr>
        <w:pStyle w:val="AllowPageBreak"/>
      </w:pPr>
    </w:p>
    <w:p w:rsidR="00000000" w:rsidRPr="00B8291E" w:rsidP="00B8291E">
      <w:pPr>
        <w:pStyle w:val="Heading1"/>
      </w:pPr>
      <w:bookmarkStart w:id="8" w:name="O_475788"/>
      <w:bookmarkEnd w:id="8"/>
      <w:r w:rsidRPr="00B8291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4410D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8291E" w:rsidP="00B8291E">
            <w:pPr>
              <w:pStyle w:val="BodyText"/>
            </w:pPr>
            <w:r w:rsidRPr="00B8291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8291E">
            <w:pPr>
              <w:pStyle w:val="BodyText"/>
              <w:rPr>
                <w:lang w:val="en-NZ"/>
              </w:rPr>
            </w:pPr>
            <w:r w:rsidRPr="00B8291E">
              <w:rPr>
                <w:rStyle w:val="SpecialBold"/>
              </w:rPr>
              <w:t>PERFORMANCE CRITERIA</w:t>
            </w:r>
          </w:p>
        </w:tc>
      </w:tr>
      <w:tr w:rsidTr="004410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8291E">
            <w:pPr>
              <w:pStyle w:val="BodyText"/>
              <w:rPr>
                <w:lang w:val="en-NZ"/>
              </w:rPr>
            </w:pPr>
            <w:r w:rsidRPr="00B8291E">
              <w:t>1</w:t>
            </w:r>
          </w:p>
        </w:tc>
        <w:tc>
          <w:tcPr>
            <w:tcW w:w="2296" w:type="dxa"/>
            <w:vMerge w:val="restart"/>
            <w:tcBorders>
              <w:top w:val="nil"/>
              <w:left w:val="nil"/>
              <w:bottom w:val="nil"/>
              <w:right w:val="nil"/>
            </w:tcBorders>
            <w:tcMar>
              <w:top w:w="0" w:type="dxa"/>
              <w:left w:w="62" w:type="dxa"/>
              <w:bottom w:w="0" w:type="dxa"/>
              <w:right w:w="62" w:type="dxa"/>
            </w:tcMar>
          </w:tcPr>
          <w:p w:rsidR="00000000" w:rsidP="00B8291E">
            <w:pPr>
              <w:pStyle w:val="BodyText"/>
              <w:rPr>
                <w:lang w:val="en-NZ"/>
              </w:rPr>
            </w:pPr>
            <w:r w:rsidRPr="00B8291E">
              <w:t>Plan for work related issues</w:t>
            </w:r>
          </w:p>
        </w:tc>
        <w:tc>
          <w:tcPr>
            <w:tcW w:w="900" w:type="dxa"/>
            <w:tcBorders>
              <w:top w:val="nil"/>
              <w:left w:val="nil"/>
              <w:bottom w:val="nil"/>
              <w:right w:val="nil"/>
            </w:tcBorders>
            <w:tcMar>
              <w:top w:w="0" w:type="dxa"/>
              <w:left w:w="62" w:type="dxa"/>
              <w:bottom w:w="0" w:type="dxa"/>
              <w:right w:w="62" w:type="dxa"/>
            </w:tcMar>
          </w:tcPr>
          <w:p w:rsidR="00000000" w:rsidP="00B8291E">
            <w:pPr>
              <w:pStyle w:val="BodyText"/>
              <w:rPr>
                <w:lang w:val="en-NZ"/>
              </w:rPr>
            </w:pPr>
            <w:r w:rsidRPr="00B8291E">
              <w:t>1.1</w:t>
            </w:r>
          </w:p>
        </w:tc>
        <w:tc>
          <w:tcPr>
            <w:tcW w:w="4860" w:type="dxa"/>
            <w:tcBorders>
              <w:top w:val="nil"/>
              <w:left w:val="nil"/>
              <w:bottom w:val="nil"/>
              <w:right w:val="nil"/>
            </w:tcBorders>
            <w:tcMar>
              <w:top w:w="0" w:type="dxa"/>
              <w:left w:w="62" w:type="dxa"/>
              <w:bottom w:w="0" w:type="dxa"/>
              <w:right w:w="62" w:type="dxa"/>
            </w:tcMar>
          </w:tcPr>
          <w:p w:rsidR="00000000" w:rsidP="00B8291E">
            <w:pPr>
              <w:pStyle w:val="BodyText"/>
              <w:rPr>
                <w:lang w:val="en-NZ"/>
              </w:rPr>
            </w:pPr>
            <w:r w:rsidRPr="00B8291E">
              <w:t>Safety issues are identified to comply with enterprise/site requirements</w:t>
            </w:r>
          </w:p>
        </w:tc>
      </w:tr>
      <w:tr w:rsidTr="004410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291E">
            <w:pPr>
              <w:pStyle w:val="BodyText"/>
              <w:rPr>
                <w:lang w:val="en-NZ"/>
              </w:rPr>
            </w:pPr>
            <w:r w:rsidRPr="00B8291E">
              <w:t>1.2</w:t>
            </w:r>
          </w:p>
        </w:tc>
        <w:tc>
          <w:tcPr>
            <w:tcW w:w="4860" w:type="dxa"/>
            <w:tcBorders>
              <w:top w:val="nil"/>
              <w:left w:val="nil"/>
              <w:bottom w:val="nil"/>
              <w:right w:val="nil"/>
            </w:tcBorders>
            <w:tcMar>
              <w:top w:w="0" w:type="dxa"/>
              <w:left w:w="62" w:type="dxa"/>
              <w:bottom w:w="0" w:type="dxa"/>
              <w:right w:w="62" w:type="dxa"/>
            </w:tcMar>
          </w:tcPr>
          <w:p w:rsidR="00000000" w:rsidP="00B8291E">
            <w:pPr>
              <w:pStyle w:val="BodyText"/>
              <w:rPr>
                <w:lang w:val="en-NZ"/>
              </w:rPr>
            </w:pPr>
            <w:r w:rsidRPr="00B8291E">
              <w:t>Work, plant and resource requirements are identified from relevant information and documentation</w:t>
            </w:r>
          </w:p>
        </w:tc>
      </w:tr>
      <w:tr w:rsidTr="004410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291E">
            <w:pPr>
              <w:pStyle w:val="BodyText"/>
              <w:rPr>
                <w:lang w:val="en-NZ"/>
              </w:rPr>
            </w:pPr>
            <w:r w:rsidRPr="00B8291E">
              <w:t>1.3</w:t>
            </w:r>
          </w:p>
        </w:tc>
        <w:tc>
          <w:tcPr>
            <w:tcW w:w="4860" w:type="dxa"/>
            <w:tcBorders>
              <w:top w:val="nil"/>
              <w:left w:val="nil"/>
              <w:bottom w:val="nil"/>
              <w:right w:val="nil"/>
            </w:tcBorders>
            <w:tcMar>
              <w:top w:w="0" w:type="dxa"/>
              <w:left w:w="62" w:type="dxa"/>
              <w:bottom w:w="0" w:type="dxa"/>
              <w:right w:w="62" w:type="dxa"/>
            </w:tcMar>
          </w:tcPr>
          <w:p w:rsidR="00000000" w:rsidP="00B8291E">
            <w:pPr>
              <w:pStyle w:val="BodyText"/>
              <w:rPr>
                <w:lang w:val="en-NZ"/>
              </w:rPr>
            </w:pPr>
            <w:r w:rsidRPr="00B8291E">
              <w:t>Pre operational checks are carried out in accordance with enterprise and site requirements</w:t>
            </w:r>
          </w:p>
        </w:tc>
      </w:tr>
      <w:tr w:rsidTr="004410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291E">
            <w:pPr>
              <w:pStyle w:val="BodyText"/>
              <w:rPr>
                <w:lang w:val="en-NZ"/>
              </w:rPr>
            </w:pPr>
            <w:r w:rsidRPr="00B8291E">
              <w:t>1.4</w:t>
            </w:r>
          </w:p>
        </w:tc>
        <w:tc>
          <w:tcPr>
            <w:tcW w:w="4860" w:type="dxa"/>
            <w:tcBorders>
              <w:top w:val="nil"/>
              <w:left w:val="nil"/>
              <w:bottom w:val="nil"/>
              <w:right w:val="nil"/>
            </w:tcBorders>
            <w:tcMar>
              <w:top w:w="0" w:type="dxa"/>
              <w:left w:w="62" w:type="dxa"/>
              <w:bottom w:w="0" w:type="dxa"/>
              <w:right w:w="62" w:type="dxa"/>
            </w:tcMar>
          </w:tcPr>
          <w:p w:rsidR="00000000" w:rsidP="00B8291E">
            <w:pPr>
              <w:pStyle w:val="BodyText"/>
              <w:rPr>
                <w:lang w:val="en-NZ"/>
              </w:rPr>
            </w:pPr>
            <w:r w:rsidRPr="00B8291E">
              <w:t>Where appropriate, the teams and individuals roles and responsibilities within the team are identified and, where required, assist in the provision of the on-</w:t>
            </w:r>
            <w:r w:rsidRPr="00B8291E">
              <w:t>the-job training.</w:t>
            </w:r>
          </w:p>
        </w:tc>
      </w:tr>
      <w:tr w:rsidTr="004410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8291E">
            <w:pPr>
              <w:pStyle w:val="BodyText"/>
              <w:rPr>
                <w:lang w:val="en-NZ"/>
              </w:rPr>
            </w:pPr>
            <w:r w:rsidRPr="00B8291E">
              <w:t>2</w:t>
            </w:r>
          </w:p>
        </w:tc>
        <w:tc>
          <w:tcPr>
            <w:tcW w:w="2296" w:type="dxa"/>
            <w:vMerge w:val="restart"/>
            <w:tcBorders>
              <w:top w:val="nil"/>
              <w:left w:val="nil"/>
              <w:bottom w:val="nil"/>
              <w:right w:val="nil"/>
            </w:tcBorders>
            <w:tcMar>
              <w:top w:w="0" w:type="dxa"/>
              <w:left w:w="62" w:type="dxa"/>
              <w:bottom w:w="0" w:type="dxa"/>
              <w:right w:w="62" w:type="dxa"/>
            </w:tcMar>
          </w:tcPr>
          <w:p w:rsidR="00000000" w:rsidP="00B8291E">
            <w:pPr>
              <w:pStyle w:val="BodyText"/>
              <w:rPr>
                <w:lang w:val="en-NZ"/>
              </w:rPr>
            </w:pPr>
            <w:r w:rsidRPr="00B8291E">
              <w:t>Plan and prepare to conduct data collection</w:t>
            </w:r>
          </w:p>
        </w:tc>
        <w:tc>
          <w:tcPr>
            <w:tcW w:w="900" w:type="dxa"/>
            <w:tcBorders>
              <w:top w:val="nil"/>
              <w:left w:val="nil"/>
              <w:bottom w:val="nil"/>
              <w:right w:val="nil"/>
            </w:tcBorders>
            <w:tcMar>
              <w:top w:w="0" w:type="dxa"/>
              <w:left w:w="62" w:type="dxa"/>
              <w:bottom w:w="0" w:type="dxa"/>
              <w:right w:w="62" w:type="dxa"/>
            </w:tcMar>
          </w:tcPr>
          <w:p w:rsidR="00000000" w:rsidP="00B8291E">
            <w:pPr>
              <w:pStyle w:val="BodyText"/>
              <w:rPr>
                <w:lang w:val="en-NZ"/>
              </w:rPr>
            </w:pPr>
            <w:r w:rsidRPr="00B8291E">
              <w:t>2.1</w:t>
            </w:r>
          </w:p>
        </w:tc>
        <w:tc>
          <w:tcPr>
            <w:tcW w:w="4860" w:type="dxa"/>
            <w:tcBorders>
              <w:top w:val="nil"/>
              <w:left w:val="nil"/>
              <w:bottom w:val="nil"/>
              <w:right w:val="nil"/>
            </w:tcBorders>
            <w:tcMar>
              <w:top w:w="0" w:type="dxa"/>
              <w:left w:w="62" w:type="dxa"/>
              <w:bottom w:w="0" w:type="dxa"/>
              <w:right w:w="62" w:type="dxa"/>
            </w:tcMar>
          </w:tcPr>
          <w:p w:rsidR="00000000" w:rsidP="00B8291E">
            <w:pPr>
              <w:pStyle w:val="BodyText"/>
              <w:rPr>
                <w:lang w:val="en-NZ"/>
              </w:rPr>
            </w:pPr>
            <w:r w:rsidRPr="00B8291E">
              <w:t>Select appropriate equipment to conduct the data collection</w:t>
            </w:r>
          </w:p>
        </w:tc>
      </w:tr>
      <w:tr w:rsidTr="004410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291E">
            <w:pPr>
              <w:pStyle w:val="BodyText"/>
              <w:rPr>
                <w:lang w:val="en-NZ"/>
              </w:rPr>
            </w:pPr>
            <w:r w:rsidRPr="00B8291E">
              <w:t>2.2</w:t>
            </w:r>
          </w:p>
        </w:tc>
        <w:tc>
          <w:tcPr>
            <w:tcW w:w="4860" w:type="dxa"/>
            <w:tcBorders>
              <w:top w:val="nil"/>
              <w:left w:val="nil"/>
              <w:bottom w:val="nil"/>
              <w:right w:val="nil"/>
            </w:tcBorders>
            <w:tcMar>
              <w:top w:w="0" w:type="dxa"/>
              <w:left w:w="62" w:type="dxa"/>
              <w:bottom w:w="0" w:type="dxa"/>
              <w:right w:w="62" w:type="dxa"/>
            </w:tcMar>
          </w:tcPr>
          <w:p w:rsidR="00000000" w:rsidP="00B8291E">
            <w:pPr>
              <w:pStyle w:val="BodyText"/>
              <w:rPr>
                <w:lang w:val="en-NZ"/>
              </w:rPr>
            </w:pPr>
            <w:r w:rsidRPr="00B8291E">
              <w:t>Pre-calibrate the equipment in preparation for survey according to manufacturer’s specifications</w:t>
            </w:r>
          </w:p>
        </w:tc>
      </w:tr>
      <w:tr w:rsidTr="004410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291E">
            <w:pPr>
              <w:pStyle w:val="BodyText"/>
              <w:rPr>
                <w:lang w:val="en-NZ"/>
              </w:rPr>
            </w:pPr>
            <w:r w:rsidRPr="00B8291E">
              <w:t>2.3</w:t>
            </w:r>
          </w:p>
        </w:tc>
        <w:tc>
          <w:tcPr>
            <w:tcW w:w="4860" w:type="dxa"/>
            <w:tcBorders>
              <w:top w:val="nil"/>
              <w:left w:val="nil"/>
              <w:bottom w:val="nil"/>
              <w:right w:val="nil"/>
            </w:tcBorders>
            <w:tcMar>
              <w:top w:w="0" w:type="dxa"/>
              <w:left w:w="62" w:type="dxa"/>
              <w:bottom w:w="0" w:type="dxa"/>
              <w:right w:w="62" w:type="dxa"/>
            </w:tcMar>
          </w:tcPr>
          <w:p w:rsidR="00000000" w:rsidP="00B8291E">
            <w:pPr>
              <w:pStyle w:val="BodyText"/>
              <w:rPr>
                <w:lang w:val="en-NZ"/>
              </w:rPr>
            </w:pPr>
            <w:r w:rsidRPr="00B8291E">
              <w:t>Assess the potential hazards in accordance with enterprise procedures.</w:t>
            </w:r>
          </w:p>
        </w:tc>
      </w:tr>
      <w:tr w:rsidTr="004410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291E">
            <w:pPr>
              <w:pStyle w:val="BodyText"/>
              <w:rPr>
                <w:lang w:val="en-NZ"/>
              </w:rPr>
            </w:pPr>
            <w:r w:rsidRPr="00B8291E">
              <w:t>2.4</w:t>
            </w:r>
          </w:p>
        </w:tc>
        <w:tc>
          <w:tcPr>
            <w:tcW w:w="4860" w:type="dxa"/>
            <w:tcBorders>
              <w:top w:val="nil"/>
              <w:left w:val="nil"/>
              <w:bottom w:val="nil"/>
              <w:right w:val="nil"/>
            </w:tcBorders>
            <w:tcMar>
              <w:top w:w="0" w:type="dxa"/>
              <w:left w:w="62" w:type="dxa"/>
              <w:bottom w:w="0" w:type="dxa"/>
              <w:right w:w="62" w:type="dxa"/>
            </w:tcMar>
          </w:tcPr>
          <w:p w:rsidR="00000000" w:rsidP="00B8291E">
            <w:pPr>
              <w:pStyle w:val="BodyText"/>
              <w:rPr>
                <w:lang w:val="en-NZ"/>
              </w:rPr>
            </w:pPr>
            <w:r w:rsidRPr="00B8291E">
              <w:t>Assess meteorological charts and data to assist with planning for the conduct of a data collection activity.</w:t>
            </w:r>
          </w:p>
        </w:tc>
      </w:tr>
      <w:tr w:rsidTr="004410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8291E">
            <w:pPr>
              <w:pStyle w:val="BodyText"/>
              <w:rPr>
                <w:lang w:val="en-NZ"/>
              </w:rPr>
            </w:pPr>
            <w:r w:rsidRPr="00B8291E">
              <w:t>3</w:t>
            </w:r>
          </w:p>
        </w:tc>
        <w:tc>
          <w:tcPr>
            <w:tcW w:w="2296" w:type="dxa"/>
            <w:vMerge w:val="restart"/>
            <w:tcBorders>
              <w:top w:val="nil"/>
              <w:left w:val="nil"/>
              <w:bottom w:val="nil"/>
              <w:right w:val="nil"/>
            </w:tcBorders>
            <w:tcMar>
              <w:top w:w="0" w:type="dxa"/>
              <w:left w:w="62" w:type="dxa"/>
              <w:bottom w:w="0" w:type="dxa"/>
              <w:right w:w="62" w:type="dxa"/>
            </w:tcMar>
          </w:tcPr>
          <w:p w:rsidR="00000000" w:rsidP="00B8291E">
            <w:pPr>
              <w:pStyle w:val="BodyText"/>
              <w:rPr>
                <w:lang w:val="en-NZ"/>
              </w:rPr>
            </w:pPr>
            <w:r w:rsidRPr="00B8291E">
              <w:t>Undertake data collection</w:t>
            </w:r>
          </w:p>
        </w:tc>
        <w:tc>
          <w:tcPr>
            <w:tcW w:w="900" w:type="dxa"/>
            <w:tcBorders>
              <w:top w:val="nil"/>
              <w:left w:val="nil"/>
              <w:bottom w:val="nil"/>
              <w:right w:val="nil"/>
            </w:tcBorders>
            <w:tcMar>
              <w:top w:w="0" w:type="dxa"/>
              <w:left w:w="62" w:type="dxa"/>
              <w:bottom w:w="0" w:type="dxa"/>
              <w:right w:w="62" w:type="dxa"/>
            </w:tcMar>
          </w:tcPr>
          <w:p w:rsidR="00000000" w:rsidP="00B8291E">
            <w:pPr>
              <w:pStyle w:val="BodyText"/>
              <w:rPr>
                <w:lang w:val="en-NZ"/>
              </w:rPr>
            </w:pPr>
            <w:r w:rsidRPr="00B8291E">
              <w:t>3.1</w:t>
            </w:r>
          </w:p>
        </w:tc>
        <w:tc>
          <w:tcPr>
            <w:tcW w:w="4860" w:type="dxa"/>
            <w:tcBorders>
              <w:top w:val="nil"/>
              <w:left w:val="nil"/>
              <w:bottom w:val="nil"/>
              <w:right w:val="nil"/>
            </w:tcBorders>
            <w:tcMar>
              <w:top w:w="0" w:type="dxa"/>
              <w:left w:w="62" w:type="dxa"/>
              <w:bottom w:w="0" w:type="dxa"/>
              <w:right w:w="62" w:type="dxa"/>
            </w:tcMar>
          </w:tcPr>
          <w:p w:rsidR="00000000" w:rsidP="00B8291E">
            <w:pPr>
              <w:pStyle w:val="BodyText"/>
              <w:rPr>
                <w:lang w:val="en-NZ"/>
              </w:rPr>
            </w:pPr>
            <w:r w:rsidRPr="00B8291E">
              <w:t>Establishing the measurement site</w:t>
            </w:r>
          </w:p>
        </w:tc>
      </w:tr>
      <w:tr w:rsidTr="004410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291E">
            <w:pPr>
              <w:pStyle w:val="BodyText"/>
              <w:rPr>
                <w:lang w:val="en-NZ"/>
              </w:rPr>
            </w:pPr>
            <w:r w:rsidRPr="00B8291E">
              <w:t>3.2</w:t>
            </w:r>
          </w:p>
        </w:tc>
        <w:tc>
          <w:tcPr>
            <w:tcW w:w="4860" w:type="dxa"/>
            <w:tcBorders>
              <w:top w:val="nil"/>
              <w:left w:val="nil"/>
              <w:bottom w:val="nil"/>
              <w:right w:val="nil"/>
            </w:tcBorders>
            <w:tcMar>
              <w:top w:w="0" w:type="dxa"/>
              <w:left w:w="62" w:type="dxa"/>
              <w:bottom w:w="0" w:type="dxa"/>
              <w:right w:w="62" w:type="dxa"/>
            </w:tcMar>
          </w:tcPr>
          <w:p w:rsidR="00000000" w:rsidP="00B8291E">
            <w:pPr>
              <w:pStyle w:val="BodyText"/>
              <w:rPr>
                <w:lang w:val="en-NZ"/>
              </w:rPr>
            </w:pPr>
            <w:r w:rsidRPr="00B8291E">
              <w:t>Set out the instrumentation in accordance with manufacturer’s specifications.</w:t>
            </w:r>
          </w:p>
        </w:tc>
      </w:tr>
      <w:tr w:rsidTr="004410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291E">
            <w:pPr>
              <w:pStyle w:val="BodyText"/>
              <w:rPr>
                <w:lang w:val="en-NZ"/>
              </w:rPr>
            </w:pPr>
            <w:r w:rsidRPr="00B8291E">
              <w:t>3.3</w:t>
            </w:r>
          </w:p>
        </w:tc>
        <w:tc>
          <w:tcPr>
            <w:tcW w:w="4860" w:type="dxa"/>
            <w:tcBorders>
              <w:top w:val="nil"/>
              <w:left w:val="nil"/>
              <w:bottom w:val="nil"/>
              <w:right w:val="nil"/>
            </w:tcBorders>
            <w:tcMar>
              <w:top w:w="0" w:type="dxa"/>
              <w:left w:w="62" w:type="dxa"/>
              <w:bottom w:w="0" w:type="dxa"/>
              <w:right w:w="62" w:type="dxa"/>
            </w:tcMar>
          </w:tcPr>
          <w:p w:rsidR="00000000" w:rsidP="00B8291E">
            <w:pPr>
              <w:pStyle w:val="BodyText"/>
              <w:rPr>
                <w:lang w:val="en-NZ"/>
              </w:rPr>
            </w:pPr>
            <w:r w:rsidRPr="00B8291E">
              <w:t>Perform the measurement in accordance with enterprise requirements.</w:t>
            </w:r>
          </w:p>
        </w:tc>
      </w:tr>
      <w:tr w:rsidTr="004410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291E">
            <w:pPr>
              <w:pStyle w:val="BodyText"/>
              <w:rPr>
                <w:lang w:val="en-NZ"/>
              </w:rPr>
            </w:pPr>
            <w:r w:rsidRPr="00B8291E">
              <w:t>3.4</w:t>
            </w:r>
          </w:p>
        </w:tc>
        <w:tc>
          <w:tcPr>
            <w:tcW w:w="4860" w:type="dxa"/>
            <w:tcBorders>
              <w:top w:val="nil"/>
              <w:left w:val="nil"/>
              <w:bottom w:val="nil"/>
              <w:right w:val="nil"/>
            </w:tcBorders>
            <w:tcMar>
              <w:top w:w="0" w:type="dxa"/>
              <w:left w:w="62" w:type="dxa"/>
              <w:bottom w:w="0" w:type="dxa"/>
              <w:right w:w="62" w:type="dxa"/>
            </w:tcMar>
          </w:tcPr>
          <w:p w:rsidR="00000000" w:rsidP="00B8291E">
            <w:pPr>
              <w:pStyle w:val="BodyText"/>
              <w:rPr>
                <w:lang w:val="en-NZ"/>
              </w:rPr>
            </w:pPr>
            <w:r w:rsidRPr="00B8291E">
              <w:t xml:space="preserve">Record measurements following enterprise procedures </w:t>
            </w:r>
          </w:p>
        </w:tc>
      </w:tr>
      <w:tr w:rsidTr="004410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291E">
            <w:pPr>
              <w:pStyle w:val="BodyText"/>
              <w:rPr>
                <w:lang w:val="en-NZ"/>
              </w:rPr>
            </w:pPr>
            <w:r w:rsidRPr="00B8291E">
              <w:t>3.5</w:t>
            </w:r>
          </w:p>
        </w:tc>
        <w:tc>
          <w:tcPr>
            <w:tcW w:w="4860" w:type="dxa"/>
            <w:tcBorders>
              <w:top w:val="nil"/>
              <w:left w:val="nil"/>
              <w:bottom w:val="nil"/>
              <w:right w:val="nil"/>
            </w:tcBorders>
            <w:tcMar>
              <w:top w:w="0" w:type="dxa"/>
              <w:left w:w="62" w:type="dxa"/>
              <w:bottom w:w="0" w:type="dxa"/>
              <w:right w:w="62" w:type="dxa"/>
            </w:tcMar>
          </w:tcPr>
          <w:p w:rsidR="00000000" w:rsidP="00B8291E">
            <w:pPr>
              <w:pStyle w:val="BodyText"/>
              <w:rPr>
                <w:lang w:val="en-NZ"/>
              </w:rPr>
            </w:pPr>
            <w:r w:rsidRPr="00B8291E">
              <w:t>Clean and store tools and equipment</w:t>
            </w:r>
          </w:p>
        </w:tc>
      </w:tr>
      <w:tr w:rsidTr="004410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8291E">
            <w:pPr>
              <w:pStyle w:val="BodyText"/>
              <w:rPr>
                <w:lang w:val="en-NZ"/>
              </w:rPr>
            </w:pPr>
            <w:r w:rsidRPr="00B8291E">
              <w:t>4</w:t>
            </w:r>
          </w:p>
        </w:tc>
        <w:tc>
          <w:tcPr>
            <w:tcW w:w="2296" w:type="dxa"/>
            <w:tcBorders>
              <w:top w:val="nil"/>
              <w:left w:val="nil"/>
              <w:bottom w:val="nil"/>
              <w:right w:val="nil"/>
            </w:tcBorders>
            <w:tcMar>
              <w:top w:w="0" w:type="dxa"/>
              <w:left w:w="62" w:type="dxa"/>
              <w:bottom w:w="0" w:type="dxa"/>
              <w:right w:w="62" w:type="dxa"/>
            </w:tcMar>
          </w:tcPr>
          <w:p w:rsidR="00000000" w:rsidP="00B8291E">
            <w:pPr>
              <w:pStyle w:val="BodyText"/>
              <w:rPr>
                <w:lang w:val="en-NZ"/>
              </w:rPr>
            </w:pPr>
            <w:r w:rsidRPr="00B8291E">
              <w:t>Verify and report data collection initial analysis</w:t>
            </w:r>
          </w:p>
        </w:tc>
        <w:tc>
          <w:tcPr>
            <w:tcW w:w="900" w:type="dxa"/>
            <w:tcBorders>
              <w:top w:val="nil"/>
              <w:left w:val="nil"/>
              <w:bottom w:val="nil"/>
              <w:right w:val="nil"/>
            </w:tcBorders>
            <w:tcMar>
              <w:top w:w="0" w:type="dxa"/>
              <w:left w:w="62" w:type="dxa"/>
              <w:bottom w:w="0" w:type="dxa"/>
              <w:right w:w="62" w:type="dxa"/>
            </w:tcMar>
          </w:tcPr>
          <w:p w:rsidR="00000000" w:rsidP="00B8291E">
            <w:pPr>
              <w:pStyle w:val="BodyText"/>
              <w:rPr>
                <w:lang w:val="en-NZ"/>
              </w:rPr>
            </w:pPr>
            <w:r w:rsidRPr="00B8291E">
              <w:t>4.1</w:t>
            </w:r>
          </w:p>
        </w:tc>
        <w:tc>
          <w:tcPr>
            <w:tcW w:w="4860" w:type="dxa"/>
            <w:tcBorders>
              <w:top w:val="nil"/>
              <w:left w:val="nil"/>
              <w:bottom w:val="nil"/>
              <w:right w:val="nil"/>
            </w:tcBorders>
            <w:tcMar>
              <w:top w:w="0" w:type="dxa"/>
              <w:left w:w="62" w:type="dxa"/>
              <w:bottom w:w="0" w:type="dxa"/>
              <w:right w:w="62" w:type="dxa"/>
            </w:tcMar>
          </w:tcPr>
          <w:p w:rsidR="00000000" w:rsidRPr="00B8291E" w:rsidP="00B8291E">
            <w:pPr>
              <w:pStyle w:val="BodyText"/>
            </w:pPr>
            <w:r w:rsidRPr="00B8291E">
              <w:t>Analyse measurements to verify accuracy of findings.</w:t>
            </w:r>
          </w:p>
          <w:p w:rsidR="00000000" w:rsidP="00B8291E">
            <w:pPr>
              <w:pStyle w:val="BodyText"/>
              <w:rPr>
                <w:lang w:val="en-NZ"/>
              </w:rPr>
            </w:pPr>
            <w:r w:rsidRPr="00B8291E">
              <w:t>Enter data into appropriate data systems</w:t>
            </w:r>
          </w:p>
        </w:tc>
      </w:tr>
      <w:tr w:rsidTr="004410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8291E">
            <w:pPr>
              <w:pStyle w:val="BodyText"/>
              <w:rPr>
                <w:lang w:val="en-NZ"/>
              </w:rPr>
            </w:pPr>
            <w:r w:rsidRPr="00B8291E">
              <w:t>5</w:t>
            </w:r>
          </w:p>
        </w:tc>
        <w:tc>
          <w:tcPr>
            <w:tcW w:w="2296" w:type="dxa"/>
            <w:tcBorders>
              <w:top w:val="nil"/>
              <w:left w:val="nil"/>
              <w:bottom w:val="nil"/>
              <w:right w:val="nil"/>
            </w:tcBorders>
            <w:tcMar>
              <w:top w:w="0" w:type="dxa"/>
              <w:left w:w="62" w:type="dxa"/>
              <w:bottom w:w="0" w:type="dxa"/>
              <w:right w:w="62" w:type="dxa"/>
            </w:tcMar>
          </w:tcPr>
          <w:p w:rsidR="00000000" w:rsidP="00B8291E">
            <w:pPr>
              <w:pStyle w:val="BodyText"/>
              <w:rPr>
                <w:lang w:val="en-NZ"/>
              </w:rPr>
            </w:pPr>
            <w:r w:rsidRPr="00B8291E">
              <w:t>Complete documentation</w:t>
            </w:r>
          </w:p>
        </w:tc>
        <w:tc>
          <w:tcPr>
            <w:tcW w:w="900" w:type="dxa"/>
            <w:tcBorders>
              <w:top w:val="nil"/>
              <w:left w:val="nil"/>
              <w:bottom w:val="nil"/>
              <w:right w:val="nil"/>
            </w:tcBorders>
            <w:tcMar>
              <w:top w:w="0" w:type="dxa"/>
              <w:left w:w="62" w:type="dxa"/>
              <w:bottom w:w="0" w:type="dxa"/>
              <w:right w:w="62" w:type="dxa"/>
            </w:tcMar>
          </w:tcPr>
          <w:p w:rsidR="00000000" w:rsidP="00B8291E">
            <w:pPr>
              <w:pStyle w:val="BodyText"/>
              <w:rPr>
                <w:lang w:val="en-NZ"/>
              </w:rPr>
            </w:pPr>
            <w:r w:rsidRPr="00B8291E">
              <w:t>5.1</w:t>
            </w:r>
          </w:p>
        </w:tc>
        <w:tc>
          <w:tcPr>
            <w:tcW w:w="4860" w:type="dxa"/>
            <w:tcBorders>
              <w:top w:val="nil"/>
              <w:left w:val="nil"/>
              <w:bottom w:val="nil"/>
              <w:right w:val="nil"/>
            </w:tcBorders>
            <w:tcMar>
              <w:top w:w="0" w:type="dxa"/>
              <w:left w:w="62" w:type="dxa"/>
              <w:bottom w:w="0" w:type="dxa"/>
              <w:right w:w="62" w:type="dxa"/>
            </w:tcMar>
          </w:tcPr>
          <w:p w:rsidR="00000000" w:rsidRPr="00B8291E" w:rsidP="00B8291E">
            <w:pPr>
              <w:pStyle w:val="BodyText"/>
            </w:pPr>
            <w:r w:rsidRPr="00B8291E">
              <w:t>Complete work order requirements according to enterprise procedures.</w:t>
            </w:r>
          </w:p>
        </w:tc>
      </w:tr>
    </w:tbl>
    <w:p w:rsidR="00000000" w:rsidRPr="00B8291E" w:rsidP="00B8291E">
      <w:pPr>
        <w:pStyle w:val="BodyText"/>
      </w:pPr>
    </w:p>
    <w:p w:rsidR="00000000" w:rsidRPr="00B8291E" w:rsidP="00B8291E">
      <w:pPr>
        <w:pStyle w:val="AllowPageBreak"/>
      </w:pPr>
    </w:p>
    <w:p w:rsidR="00000000" w:rsidRPr="00B8291E" w:rsidP="00B8291E">
      <w:pPr>
        <w:pStyle w:val="Heading1"/>
      </w:pPr>
      <w:bookmarkStart w:id="9" w:name="O_475796"/>
      <w:bookmarkEnd w:id="9"/>
      <w:r w:rsidRPr="00B8291E">
        <w:t>Required Skills and Knowledge</w:t>
      </w:r>
    </w:p>
    <w:tbl>
      <w:tblPr>
        <w:tblW w:w="0" w:type="auto"/>
        <w:tblLayout w:type="fixed"/>
        <w:tblCellMar>
          <w:left w:w="62" w:type="dxa"/>
          <w:right w:w="62" w:type="dxa"/>
        </w:tblCellMar>
        <w:tblLook w:val="0000"/>
      </w:tblPr>
      <w:tblGrid>
        <w:gridCol w:w="8460"/>
      </w:tblGrid>
      <w:tr w:rsidTr="004410D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8291E">
            <w:pPr>
              <w:pStyle w:val="BodyText"/>
              <w:rPr>
                <w:lang w:val="en-NZ"/>
              </w:rPr>
            </w:pPr>
            <w:r w:rsidRPr="00B8291E">
              <w:rPr>
                <w:rStyle w:val="SpecialBold"/>
              </w:rPr>
              <w:t>REQUIRED SKILLS AND KNOWLEDGE</w:t>
            </w:r>
          </w:p>
        </w:tc>
      </w:tr>
      <w:tr w:rsidTr="004410DB">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B8291E" w:rsidP="00B8291E">
            <w:pPr>
              <w:pStyle w:val="BodyText"/>
            </w:pPr>
            <w:r w:rsidRPr="00B8291E">
              <w:rPr>
                <w:rStyle w:val="SpecialBold"/>
              </w:rPr>
              <w:t>8)</w:t>
            </w:r>
            <w:r w:rsidRPr="00B8291E">
              <w:t xml:space="preserve"> This describes the essential skills and knowledge and their level, required for this unit.</w:t>
            </w:r>
          </w:p>
          <w:p w:rsidR="00000000" w:rsidRPr="00B8291E" w:rsidP="00B8291E">
            <w:pPr>
              <w:pStyle w:val="BodyText"/>
            </w:pPr>
            <w:r w:rsidRPr="00B8291E">
              <w:t>Evidence shal</w:t>
            </w:r>
            <w:r w:rsidRPr="00B8291E">
              <w:t>l show that knowledge has been acquired collecting and analysing hydrological and meteorological data.</w:t>
            </w:r>
          </w:p>
          <w:p w:rsidR="00000000" w:rsidRPr="00B8291E" w:rsidP="00B8291E">
            <w:pPr>
              <w:pStyle w:val="BodyText"/>
            </w:pPr>
            <w:r w:rsidRPr="00B8291E">
              <w:t>All knowledge and skills detailed in this unit should be contextualised to current industry practices and technologies.</w:t>
            </w:r>
          </w:p>
          <w:p w:rsidR="00000000" w:rsidRPr="00B8291E" w:rsidP="00B8291E">
            <w:pPr>
              <w:pStyle w:val="BodyText"/>
            </w:pPr>
            <w:r w:rsidRPr="00B8291E">
              <w:t>The extent of the Essential Knowl</w:t>
            </w:r>
            <w:r w:rsidRPr="00B8291E">
              <w:t>edge and Associated Skills required follows:</w:t>
            </w:r>
          </w:p>
          <w:p w:rsidR="00000000" w:rsidRPr="00B8291E" w:rsidP="00B8291E">
            <w:pPr>
              <w:pStyle w:val="BodyText"/>
            </w:pPr>
            <w:r w:rsidRPr="00B8291E">
              <w:t>KS01-PO431B  Hydrological and meteorological data</w:t>
            </w:r>
          </w:p>
          <w:p w:rsidR="00000000" w:rsidRPr="00B8291E" w:rsidP="00B8291E">
            <w:pPr>
              <w:pStyle w:val="BodyText"/>
            </w:pPr>
            <w:r w:rsidRPr="00B8291E">
              <w:t>T1  Evidence shall show that knowledge has been acquired for safe working practices of:</w:t>
            </w:r>
          </w:p>
          <w:p w:rsidR="00000000" w:rsidRPr="00B8291E" w:rsidP="00B8291E">
            <w:pPr>
              <w:pStyle w:val="ListBullet"/>
            </w:pPr>
            <w:r w:rsidRPr="00B8291E">
              <w:t>Relevant environmental, occupational health and safety legislation and  regulations</w:t>
            </w:r>
          </w:p>
          <w:p w:rsidR="00000000" w:rsidRPr="00B8291E" w:rsidP="00B8291E">
            <w:pPr>
              <w:pStyle w:val="ListBullet"/>
            </w:pPr>
            <w:r w:rsidRPr="00B8291E">
              <w:t>Enterprise procedures</w:t>
            </w:r>
          </w:p>
          <w:p w:rsidR="00000000" w:rsidRPr="00B8291E" w:rsidP="00B8291E">
            <w:pPr>
              <w:pStyle w:val="ListBullet"/>
            </w:pPr>
            <w:r w:rsidRPr="00B8291E">
              <w:t>Plant drawings and manufacturers manuals</w:t>
            </w:r>
          </w:p>
          <w:p w:rsidR="00000000" w:rsidRPr="00B8291E" w:rsidP="00B8291E">
            <w:pPr>
              <w:pStyle w:val="ListBullet"/>
            </w:pPr>
            <w:r w:rsidRPr="00B8291E">
              <w:t>Introduction to and typical arrangements of power production plant</w:t>
            </w:r>
          </w:p>
          <w:p w:rsidR="00000000" w:rsidRPr="00B8291E" w:rsidP="00B8291E">
            <w:pPr>
              <w:pStyle w:val="ListBullet"/>
            </w:pPr>
            <w:r w:rsidRPr="00B8291E">
              <w:t>Relevant plant and equipment, its location</w:t>
            </w:r>
            <w:r w:rsidRPr="00B8291E">
              <w:t xml:space="preserve"> and operating parameters</w:t>
            </w:r>
          </w:p>
          <w:p w:rsidR="00000000" w:rsidRPr="00B8291E" w:rsidP="00B8291E">
            <w:pPr>
              <w:pStyle w:val="ListBullet"/>
            </w:pPr>
            <w:r w:rsidRPr="00B8291E">
              <w:t>Systems components and interactions</w:t>
            </w:r>
          </w:p>
          <w:p w:rsidR="00000000" w:rsidRPr="00B8291E" w:rsidP="00B8291E">
            <w:pPr>
              <w:pStyle w:val="ListBullet"/>
            </w:pPr>
            <w:r w:rsidRPr="00B8291E">
              <w:t>Prospective inflow forecasting</w:t>
            </w:r>
          </w:p>
          <w:p w:rsidR="00000000" w:rsidRPr="00B8291E" w:rsidP="00B8291E">
            <w:pPr>
              <w:pStyle w:val="ListBullet"/>
            </w:pPr>
            <w:r w:rsidRPr="00B8291E">
              <w:t>Snow depth gauging</w:t>
            </w:r>
          </w:p>
          <w:p w:rsidR="00000000" w:rsidRPr="00B8291E" w:rsidP="00B8291E">
            <w:pPr>
              <w:pStyle w:val="ListBullet"/>
            </w:pPr>
            <w:r w:rsidRPr="00B8291E">
              <w:t>Interpreting meteorological charts</w:t>
            </w:r>
          </w:p>
          <w:p w:rsidR="00000000" w:rsidRPr="00B8291E" w:rsidP="00B8291E">
            <w:pPr>
              <w:pStyle w:val="ListBullet"/>
            </w:pPr>
            <w:r w:rsidRPr="00B8291E">
              <w:t>Stream gauging</w:t>
            </w:r>
          </w:p>
          <w:p w:rsidR="00000000" w:rsidRPr="00B8291E" w:rsidP="00B8291E">
            <w:pPr>
              <w:pStyle w:val="ListBullet"/>
            </w:pPr>
            <w:r w:rsidRPr="00B8291E">
              <w:t>Water quality monitoring</w:t>
            </w:r>
          </w:p>
          <w:p w:rsidR="00000000" w:rsidRPr="00B8291E" w:rsidP="00B8291E">
            <w:pPr>
              <w:pStyle w:val="ListBullet"/>
            </w:pPr>
            <w:r w:rsidRPr="00B8291E">
              <w:t>Calibration of instrumentation</w:t>
            </w:r>
          </w:p>
          <w:p w:rsidR="00000000" w:rsidRPr="00B8291E" w:rsidP="00B8291E">
            <w:pPr>
              <w:pStyle w:val="ListBullet"/>
            </w:pPr>
            <w:r w:rsidRPr="00B8291E">
              <w:t>Interpretation of hydrological data</w:t>
            </w:r>
          </w:p>
          <w:p w:rsidR="00000000" w:rsidRPr="00B8291E" w:rsidP="00B8291E">
            <w:pPr>
              <w:pStyle w:val="ListBullet"/>
            </w:pPr>
            <w:r w:rsidRPr="00B8291E">
              <w:t>In</w:t>
            </w:r>
            <w:r w:rsidRPr="00B8291E">
              <w:t>terpretation of meteorological data</w:t>
            </w:r>
          </w:p>
          <w:p w:rsidR="00000000" w:rsidRPr="00B8291E" w:rsidP="00B8291E">
            <w:pPr>
              <w:pStyle w:val="ListBullet"/>
            </w:pPr>
            <w:r w:rsidRPr="00B8291E">
              <w:t>Survival techniques, hypothermia, snake avoidance</w:t>
            </w:r>
          </w:p>
          <w:p w:rsidR="00000000" w:rsidRPr="00B8291E" w:rsidP="00B8291E">
            <w:pPr>
              <w:pStyle w:val="BodyText"/>
            </w:pPr>
            <w:r w:rsidRPr="00B8291E">
              <w:t>T2  Specific skills needed to achieve the Performance Criteria:</w:t>
            </w:r>
          </w:p>
          <w:p w:rsidR="00000000" w:rsidRPr="00B8291E" w:rsidP="00B8291E">
            <w:pPr>
              <w:pStyle w:val="ListBullet"/>
            </w:pPr>
            <w:r w:rsidRPr="00B8291E">
              <w:t>Interpret plant drawings and manufacturers manuals</w:t>
            </w:r>
          </w:p>
          <w:p w:rsidR="00000000" w:rsidRPr="00B8291E" w:rsidP="00B8291E">
            <w:pPr>
              <w:pStyle w:val="ListBullet"/>
            </w:pPr>
            <w:r w:rsidRPr="00B8291E">
              <w:t>Apply enterprise recording procedure</w:t>
            </w:r>
          </w:p>
          <w:p w:rsidR="00000000" w:rsidRPr="00B8291E" w:rsidP="00B8291E">
            <w:pPr>
              <w:pStyle w:val="ListBullet"/>
            </w:pPr>
            <w:r w:rsidRPr="00B8291E">
              <w:t>Communicate effec</w:t>
            </w:r>
            <w:r w:rsidRPr="00B8291E">
              <w:t>tively,</w:t>
            </w:r>
          </w:p>
          <w:p w:rsidR="00000000" w:rsidRPr="00B8291E" w:rsidP="00B8291E">
            <w:pPr>
              <w:pStyle w:val="ListBullet"/>
            </w:pPr>
            <w:r w:rsidRPr="00B8291E">
              <w:t>Apply data analysis techniques and tools;</w:t>
            </w:r>
          </w:p>
          <w:p w:rsidR="00000000" w:rsidRPr="00B8291E" w:rsidP="00B8291E">
            <w:pPr>
              <w:pStyle w:val="ListBullet"/>
            </w:pPr>
            <w:r w:rsidRPr="00B8291E">
              <w:t>Recognise abnormal conditions;</w:t>
            </w:r>
          </w:p>
          <w:p w:rsidR="00000000" w:rsidRPr="00B8291E" w:rsidP="00B8291E">
            <w:pPr>
              <w:pStyle w:val="ListBullet"/>
            </w:pPr>
            <w:r w:rsidRPr="00B8291E">
              <w:t>Apply or determine appropriate corrective actions required;</w:t>
            </w:r>
          </w:p>
          <w:p w:rsidR="00000000" w:rsidRPr="00B8291E" w:rsidP="00B8291E">
            <w:pPr>
              <w:pStyle w:val="ListBullet"/>
            </w:pPr>
            <w:r w:rsidRPr="00B8291E">
              <w:t>Plan and prioritise work;</w:t>
            </w:r>
          </w:p>
          <w:p w:rsidR="00000000" w:rsidRPr="00B8291E" w:rsidP="00B8291E">
            <w:pPr>
              <w:pStyle w:val="ListBullet"/>
            </w:pPr>
            <w:r w:rsidRPr="00B8291E">
              <w:t>Personnel safety;</w:t>
            </w:r>
          </w:p>
          <w:p w:rsidR="00000000" w:rsidRPr="00B8291E" w:rsidP="00B8291E">
            <w:pPr>
              <w:pStyle w:val="ListBullet"/>
            </w:pPr>
            <w:r w:rsidRPr="00B8291E">
              <w:t>Coordinate the operation of equipment to maintain optimum efficiency,</w:t>
            </w:r>
          </w:p>
          <w:p w:rsidR="00000000" w:rsidRPr="00B8291E" w:rsidP="00B8291E">
            <w:pPr>
              <w:pStyle w:val="ListBullet"/>
            </w:pPr>
            <w:r w:rsidRPr="00B8291E">
              <w:t>Application of meteorological and hydrographical instrumentation</w:t>
            </w:r>
          </w:p>
          <w:p w:rsidR="00000000" w:rsidRPr="00B8291E" w:rsidP="00B8291E">
            <w:pPr>
              <w:pStyle w:val="ListBullet"/>
            </w:pPr>
            <w:r w:rsidRPr="00B8291E">
              <w:t>Measure snow depth</w:t>
            </w:r>
          </w:p>
          <w:p w:rsidR="00000000" w:rsidRPr="00B8291E" w:rsidP="00B8291E">
            <w:pPr>
              <w:pStyle w:val="ListBullet"/>
            </w:pPr>
            <w:r w:rsidRPr="00B8291E">
              <w:t>Determine inflows based on snow melt</w:t>
            </w:r>
          </w:p>
          <w:p w:rsidR="00000000" w:rsidRPr="00B8291E" w:rsidP="00B8291E">
            <w:pPr>
              <w:pStyle w:val="ListBullet"/>
            </w:pPr>
            <w:r w:rsidRPr="00B8291E">
              <w:t>Measure stream flows</w:t>
            </w:r>
          </w:p>
          <w:p w:rsidR="00000000" w:rsidRPr="00B8291E" w:rsidP="00B8291E">
            <w:pPr>
              <w:pStyle w:val="ListBullet"/>
            </w:pPr>
            <w:r w:rsidRPr="00B8291E">
              <w:t>Complete flow calculations</w:t>
            </w:r>
          </w:p>
          <w:p w:rsidR="00000000" w:rsidRPr="00B8291E" w:rsidP="00B8291E">
            <w:pPr>
              <w:pStyle w:val="ListBullet"/>
            </w:pPr>
            <w:r w:rsidRPr="00B8291E">
              <w:t>Conduct depth measurements</w:t>
            </w:r>
          </w:p>
          <w:p w:rsidR="00000000" w:rsidRPr="00B8291E" w:rsidP="00B8291E">
            <w:pPr>
              <w:pStyle w:val="ListBullet"/>
            </w:pPr>
            <w:r w:rsidRPr="00B8291E">
              <w:t>Apply survival techniques, hypothermia, snake avoidance</w:t>
            </w:r>
          </w:p>
        </w:tc>
      </w:tr>
    </w:tbl>
    <w:p w:rsidR="00000000" w:rsidRPr="00B8291E" w:rsidP="00B8291E">
      <w:pPr>
        <w:pStyle w:val="BodyText"/>
      </w:pPr>
    </w:p>
    <w:p w:rsidR="00000000" w:rsidRPr="00B8291E" w:rsidP="00B8291E">
      <w:pPr>
        <w:pStyle w:val="AllowPageBreak"/>
      </w:pPr>
    </w:p>
    <w:p w:rsidR="00000000" w:rsidRPr="00B8291E" w:rsidP="00B8291E">
      <w:pPr>
        <w:pStyle w:val="Heading1"/>
      </w:pPr>
      <w:bookmarkStart w:id="10" w:name="O_475791"/>
      <w:bookmarkEnd w:id="10"/>
      <w:r w:rsidRPr="00B8291E">
        <w:t>Evidence Guide</w:t>
      </w:r>
    </w:p>
    <w:tbl>
      <w:tblPr>
        <w:tblW w:w="0" w:type="auto"/>
        <w:tblLayout w:type="fixed"/>
        <w:tblCellMar>
          <w:left w:w="62" w:type="dxa"/>
          <w:right w:w="62" w:type="dxa"/>
        </w:tblCellMar>
        <w:tblLook w:val="0000"/>
      </w:tblPr>
      <w:tblGrid>
        <w:gridCol w:w="8460"/>
      </w:tblGrid>
      <w:tr w:rsidTr="004410D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8291E">
            <w:pPr>
              <w:pStyle w:val="BodyText"/>
              <w:rPr>
                <w:lang w:val="en-NZ"/>
              </w:rPr>
            </w:pPr>
            <w:r w:rsidRPr="00B8291E">
              <w:rPr>
                <w:rStyle w:val="SpecialBold"/>
              </w:rPr>
              <w:t>EVIDENCE GUIDE</w:t>
            </w:r>
          </w:p>
        </w:tc>
      </w:tr>
      <w:tr w:rsidTr="004410D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8291E" w:rsidP="00B8291E">
            <w:pPr>
              <w:pStyle w:val="BodyText"/>
            </w:pPr>
            <w:r w:rsidRPr="00B8291E">
              <w:rPr>
                <w:rStyle w:val="SpecialBold"/>
              </w:rPr>
              <w:t>9)</w:t>
            </w:r>
            <w:r w:rsidRPr="00B8291E">
              <w:t xml:space="preserve"> This provides essential advice for assessment of the competency standard unit and must be read in conjunction with the Performance Criteria and the Range Statement of the unit and the Training Package Asses</w:t>
            </w:r>
            <w:r w:rsidRPr="00B8291E">
              <w:t>sment Guidelines.</w:t>
            </w:r>
          </w:p>
          <w:p w:rsidR="00000000" w:rsidRPr="00B8291E" w:rsidP="00B8291E">
            <w:pPr>
              <w:pStyle w:val="BodyText"/>
            </w:pPr>
            <w:r w:rsidRPr="00B8291E">
              <w:t>The Evidence Guide forms an integral part of this competency standard unit and shall be used in conjunction with all components parts of this unit and, performed in accordance with the Assessment Guidelines of this Training Package.</w:t>
            </w:r>
          </w:p>
        </w:tc>
      </w:tr>
    </w:tbl>
    <w:p w:rsidR="00000000" w:rsidRPr="00B8291E" w:rsidP="00B8291E">
      <w:pPr>
        <w:pStyle w:val="BodyText"/>
      </w:pPr>
    </w:p>
    <w:tbl>
      <w:tblPr>
        <w:tblW w:w="0" w:type="auto"/>
        <w:tblLayout w:type="fixed"/>
        <w:tblCellMar>
          <w:left w:w="62" w:type="dxa"/>
          <w:right w:w="62" w:type="dxa"/>
        </w:tblCellMar>
        <w:tblLook w:val="0000"/>
      </w:tblPr>
      <w:tblGrid>
        <w:gridCol w:w="1890"/>
        <w:gridCol w:w="6570"/>
      </w:tblGrid>
      <w:tr w:rsidTr="004410D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8291E" w:rsidP="00B8291E">
            <w:pPr>
              <w:pStyle w:val="BodyText"/>
            </w:pPr>
            <w:r w:rsidRPr="00B8291E">
              <w:rPr>
                <w:rStyle w:val="SpecialBold"/>
              </w:rPr>
              <w:t>Ove</w:t>
            </w:r>
            <w:r w:rsidRPr="00B8291E">
              <w:rPr>
                <w:rStyle w:val="SpecialBold"/>
              </w:rPr>
              <w:t>rview of Assessment</w:t>
            </w:r>
          </w:p>
        </w:tc>
        <w:tc>
          <w:tcPr>
            <w:tcW w:w="6570" w:type="dxa"/>
            <w:tcBorders>
              <w:top w:val="nil"/>
              <w:left w:val="nil"/>
              <w:bottom w:val="nil"/>
              <w:right w:val="nil"/>
            </w:tcBorders>
            <w:tcMar>
              <w:top w:w="0" w:type="dxa"/>
              <w:left w:w="62" w:type="dxa"/>
              <w:bottom w:w="0" w:type="dxa"/>
              <w:right w:w="62" w:type="dxa"/>
            </w:tcMar>
          </w:tcPr>
          <w:p w:rsidR="00000000" w:rsidP="00B8291E">
            <w:pPr>
              <w:pStyle w:val="BodyText"/>
              <w:rPr>
                <w:lang w:val="en-NZ"/>
              </w:rPr>
            </w:pPr>
            <w:r w:rsidRPr="00B8291E">
              <w:rPr>
                <w:rStyle w:val="SpecialBold"/>
              </w:rPr>
              <w:t>9.1)</w:t>
            </w:r>
          </w:p>
        </w:tc>
      </w:tr>
      <w:tr w:rsidTr="004410D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8291E" w:rsidP="00B8291E">
            <w:pPr>
              <w:pStyle w:val="BodyText"/>
            </w:pPr>
            <w:r w:rsidRPr="00B8291E">
              <w:t xml:space="preserve">Longitude competency development approaches to assessment, such as Profiling, require data to be reliably gathered in a form that can be consistently interpreted over time. This </w:t>
            </w:r>
            <w:r w:rsidRPr="00B8291E">
              <w:t>approach is best utilised in Apprenticeship programs and reduces assessment intervention. It is the Industry preferred model for apprenticeships. However, where summative (or final) assessment is used it is to include the application of the competency in t</w:t>
            </w:r>
            <w:r w:rsidRPr="00B8291E">
              <w:t>he normal work environment or, at a minimum, the application of the competency in a realistically simulated work environment. It is recognised that, in some circumstances, assessment in part or full can occur outside the workplace. However, it must be in a</w:t>
            </w:r>
            <w:r w:rsidRPr="00B8291E">
              <w:t>ccord with Industry and regulatory policy.</w:t>
            </w:r>
          </w:p>
          <w:p w:rsidR="00000000" w:rsidRPr="00B8291E" w:rsidP="00B8291E">
            <w:pPr>
              <w:pStyle w:val="BodyText"/>
            </w:pPr>
            <w:r w:rsidRPr="00B8291E">
              <w:t>Methods chosen for a particular assessment will be influenced by various factors. These include the extent of the assessment, the most effective locations for the assessment activities to take place, access to phy</w:t>
            </w:r>
            <w:r w:rsidRPr="00B8291E">
              <w:t>sical resources, additional safety measures that may be required and the critical nature of the competencies being assessed.</w:t>
            </w:r>
          </w:p>
          <w:p w:rsidR="00000000" w:rsidRPr="00B8291E" w:rsidP="00B8291E">
            <w:pPr>
              <w:pStyle w:val="BodyText"/>
            </w:pPr>
            <w:r w:rsidRPr="00B8291E">
              <w:t>The critical safety nature of working with electricity, electrical equipment, gas or any other hazardous substance/material carries</w:t>
            </w:r>
            <w:r w:rsidRPr="00B8291E">
              <w:t xml:space="preserve"> risk in deeming a person competent. Hence, sources of evidence need to be ‘rich’ in nature so as to minimise error in judgment.</w:t>
            </w:r>
          </w:p>
          <w:p w:rsidR="00000000" w:rsidRPr="00B8291E" w:rsidP="00B8291E">
            <w:pPr>
              <w:pStyle w:val="BodyText"/>
            </w:pPr>
            <w:r w:rsidRPr="00B8291E">
              <w:t>Activities associated with normal every day work have a bearing on the decision as to how much and how detailed the data gather</w:t>
            </w:r>
            <w:r w:rsidRPr="00B8291E">
              <w:t>ed will contribute to its ‘richness’. Some skills are more critical to safety and operational requirements while the same skills may be more or less frequently practised. These points are raised for the assessors to consider when choosing an assessment met</w:t>
            </w:r>
            <w:r w:rsidRPr="00B8291E">
              <w:t>hod and developing assessment instruments. Sample assessment instruments are included in the Assessment Guidelines of this Training Package.</w:t>
            </w:r>
          </w:p>
        </w:tc>
      </w:tr>
    </w:tbl>
    <w:p w:rsidR="00000000" w:rsidRPr="00B8291E" w:rsidP="00B8291E">
      <w:pPr>
        <w:pStyle w:val="BodyText"/>
      </w:pPr>
    </w:p>
    <w:tbl>
      <w:tblPr>
        <w:tblW w:w="0" w:type="auto"/>
        <w:tblLayout w:type="fixed"/>
        <w:tblCellMar>
          <w:left w:w="62" w:type="dxa"/>
          <w:right w:w="62" w:type="dxa"/>
        </w:tblCellMar>
        <w:tblLook w:val="0000"/>
      </w:tblPr>
      <w:tblGrid>
        <w:gridCol w:w="1890"/>
        <w:gridCol w:w="6570"/>
      </w:tblGrid>
      <w:tr w:rsidTr="004410D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8291E" w:rsidP="00B8291E">
            <w:pPr>
              <w:pStyle w:val="BodyText"/>
            </w:pPr>
            <w:r w:rsidRPr="00B8291E">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B8291E">
            <w:pPr>
              <w:pStyle w:val="BodyText"/>
              <w:rPr>
                <w:lang w:val="en-NZ"/>
              </w:rPr>
            </w:pPr>
            <w:r w:rsidRPr="00B8291E">
              <w:rPr>
                <w:rStyle w:val="SpecialBold"/>
              </w:rPr>
              <w:t>9.2)</w:t>
            </w:r>
          </w:p>
        </w:tc>
      </w:tr>
      <w:tr w:rsidTr="004410D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8291E" w:rsidP="00B8291E">
            <w:pPr>
              <w:pStyle w:val="BodyText"/>
            </w:pPr>
            <w:r w:rsidRPr="00B8291E">
              <w:t>Before the critical aspects o</w:t>
            </w:r>
            <w:r w:rsidRPr="00B8291E">
              <w:t>f evidence are considered all pre-requisites shall be met.</w:t>
            </w:r>
          </w:p>
          <w:p w:rsidR="00000000" w:rsidRPr="00B8291E" w:rsidP="00B8291E">
            <w:pPr>
              <w:pStyle w:val="BodyText"/>
            </w:pPr>
            <w:r w:rsidRPr="00B8291E">
              <w:t>Evidence for competence in this unit shall be considered holistically.  Each element and associated Performance Criteria shall be demonstrated on at least two occasions in accordance with the “Asse</w:t>
            </w:r>
            <w:r w:rsidRPr="00B8291E">
              <w:t>ssment Guidelines – UEP12”.  Evidence shall also comprise:</w:t>
            </w:r>
          </w:p>
          <w:p w:rsidR="00000000" w:rsidRPr="00B8291E" w:rsidP="00B8291E">
            <w:pPr>
              <w:pStyle w:val="ListBullet"/>
            </w:pPr>
            <w:r w:rsidRPr="00B8291E">
              <w:t>A representative body of work performance demonstrated within the timeframes typically expected of the discipline, work function and industrial environment. In particular this shall incorporate ev</w:t>
            </w:r>
            <w:r w:rsidRPr="00B8291E">
              <w:t>idence that shows a candidate is able to:</w:t>
            </w:r>
          </w:p>
          <w:p w:rsidR="00000000" w:rsidRPr="00B8291E" w:rsidP="00B8291E">
            <w:pPr>
              <w:pStyle w:val="ListBullet2"/>
            </w:pPr>
            <w:r w:rsidRPr="00B8291E">
              <w:t>Implement Occupational Health and Safety workplace procedures and practices including the use of risk control measures as specified in the Performance Criteria and Range Statement</w:t>
            </w:r>
          </w:p>
          <w:p w:rsidR="00000000" w:rsidRPr="00B8291E" w:rsidP="00B8291E">
            <w:pPr>
              <w:pStyle w:val="ListBullet2"/>
            </w:pPr>
            <w:r w:rsidRPr="00B8291E">
              <w:t>Apply sustainable energy principles and practices as specified in the Performance Criteria and Range Statement</w:t>
            </w:r>
          </w:p>
          <w:p w:rsidR="00000000" w:rsidRPr="00B8291E" w:rsidP="00B8291E">
            <w:pPr>
              <w:pStyle w:val="ListBullet2"/>
            </w:pPr>
            <w:r w:rsidRPr="00B8291E">
              <w:t>Demonstrate an understanding of the essential knowledge and associated skills as described in 6) Essential Knowledge and Associated Skills of thi</w:t>
            </w:r>
            <w:r w:rsidRPr="00B8291E">
              <w:t>s unit</w:t>
            </w:r>
          </w:p>
          <w:p w:rsidR="00000000" w:rsidRPr="00B8291E" w:rsidP="00B8291E">
            <w:pPr>
              <w:pStyle w:val="ListBullet2"/>
            </w:pPr>
            <w:r w:rsidRPr="00B8291E">
              <w:t>Demonstrate an appropriate level of employability skills</w:t>
            </w:r>
          </w:p>
          <w:p w:rsidR="00000000" w:rsidRPr="00B8291E" w:rsidP="00B8291E">
            <w:pPr>
              <w:pStyle w:val="ListBullet2"/>
            </w:pPr>
            <w:r w:rsidRPr="00B8291E">
              <w:t>Conduct work observing the relevant Anti-Discrimination legislation, regulations, polices and workplace procedure</w:t>
            </w:r>
          </w:p>
          <w:p w:rsidR="00000000" w:rsidRPr="00B8291E" w:rsidP="00B8291E">
            <w:pPr>
              <w:pStyle w:val="ListBullet"/>
            </w:pPr>
            <w:r w:rsidRPr="00B8291E">
              <w:t>Demonstrated performance across a representative range of contexts from the p</w:t>
            </w:r>
            <w:r w:rsidRPr="00B8291E">
              <w:t>rescribed items below:</w:t>
            </w:r>
          </w:p>
          <w:p w:rsidR="00000000" w:rsidRPr="00B8291E" w:rsidP="00B8291E">
            <w:pPr>
              <w:pStyle w:val="ListBullet2"/>
            </w:pPr>
            <w:r w:rsidRPr="00B8291E">
              <w:t>The knowledge and application of relevant sections of: Occupational Health and Safety legislation; Statutory legislation; Enterprise/site safety procedures; Enterprise/site emergency procedures, Remote location procedures</w:t>
            </w:r>
          </w:p>
          <w:p w:rsidR="00000000" w:rsidRPr="00B8291E" w:rsidP="00B8291E">
            <w:pPr>
              <w:pStyle w:val="ListBullet2"/>
            </w:pPr>
            <w:r w:rsidRPr="00B8291E">
              <w:t>OHS princi</w:t>
            </w:r>
            <w:r w:rsidRPr="00B8291E">
              <w:t>ples (e.g. Survival techniques, hypothermia, snake avoidance</w:t>
            </w:r>
          </w:p>
          <w:p w:rsidR="00000000" w:rsidRPr="00B8291E" w:rsidP="00B8291E">
            <w:pPr>
              <w:pStyle w:val="ListBullet2"/>
            </w:pPr>
            <w:r w:rsidRPr="00B8291E">
              <w:t>Safe working practices</w:t>
            </w:r>
          </w:p>
          <w:p w:rsidR="00000000" w:rsidRPr="00B8291E" w:rsidP="00B8291E">
            <w:pPr>
              <w:pStyle w:val="ListBullet2"/>
            </w:pPr>
            <w:r w:rsidRPr="00B8291E">
              <w:t>Working alone</w:t>
            </w:r>
          </w:p>
          <w:p w:rsidR="00000000" w:rsidRPr="00B8291E" w:rsidP="00B8291E">
            <w:pPr>
              <w:pStyle w:val="ListBullet2"/>
            </w:pPr>
            <w:r w:rsidRPr="00B8291E">
              <w:t>Dealing with an unplanned event by drawing on essential knowledge and skills to provide appropriate solutions incorporated in the holistic assessment with the</w:t>
            </w:r>
            <w:r w:rsidRPr="00B8291E">
              <w:t xml:space="preserve"> above listed items.</w:t>
            </w:r>
          </w:p>
        </w:tc>
      </w:tr>
    </w:tbl>
    <w:p w:rsidR="00000000" w:rsidRPr="00B8291E" w:rsidP="00B8291E">
      <w:pPr>
        <w:pStyle w:val="BodyText"/>
      </w:pPr>
    </w:p>
    <w:tbl>
      <w:tblPr>
        <w:tblW w:w="0" w:type="auto"/>
        <w:tblLayout w:type="fixed"/>
        <w:tblCellMar>
          <w:left w:w="62" w:type="dxa"/>
          <w:right w:w="62" w:type="dxa"/>
        </w:tblCellMar>
        <w:tblLook w:val="0000"/>
      </w:tblPr>
      <w:tblGrid>
        <w:gridCol w:w="1890"/>
        <w:gridCol w:w="6570"/>
      </w:tblGrid>
      <w:tr w:rsidTr="004410DB">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B8291E" w:rsidP="00B8291E">
            <w:pPr>
              <w:pStyle w:val="BodyText"/>
            </w:pPr>
            <w:r w:rsidRPr="00B8291E">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B8291E">
            <w:pPr>
              <w:pStyle w:val="BodyText"/>
              <w:rPr>
                <w:lang w:val="en-NZ"/>
              </w:rPr>
            </w:pPr>
            <w:r w:rsidRPr="00B8291E">
              <w:rPr>
                <w:rStyle w:val="SpecialBold"/>
              </w:rPr>
              <w:t>9.3)</w:t>
            </w:r>
          </w:p>
        </w:tc>
      </w:tr>
      <w:tr w:rsidTr="004410DB">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8291E" w:rsidP="00B8291E">
            <w:pPr>
              <w:pStyle w:val="BodyText"/>
            </w:pPr>
            <w:r w:rsidRPr="00B8291E">
              <w:t>This unit should be assessed as it relates to normal work practice using procedures, information and resources typical of a workplace. This should include:</w:t>
            </w:r>
          </w:p>
          <w:p w:rsidR="00000000" w:rsidRPr="00B8291E" w:rsidP="00B8291E">
            <w:pPr>
              <w:pStyle w:val="ListBullet"/>
            </w:pPr>
            <w:r w:rsidRPr="00B8291E">
              <w:t>OHS policy and work procedures and instructions.</w:t>
            </w:r>
          </w:p>
          <w:p w:rsidR="00000000" w:rsidRPr="00B8291E" w:rsidP="00B8291E">
            <w:pPr>
              <w:pStyle w:val="ListBullet"/>
            </w:pPr>
            <w:r w:rsidRPr="00B8291E">
              <w:t>Suitable work environment, facilities, equipment and materials to undertake actual work as prescribed by this unit.</w:t>
            </w:r>
          </w:p>
          <w:p w:rsidR="00000000" w:rsidRPr="00B8291E" w:rsidP="00B8291E">
            <w:pPr>
              <w:pStyle w:val="BodyText"/>
            </w:pPr>
            <w:r w:rsidRPr="00B8291E">
              <w:t>Competency Standards should be assessed in the workplace or simulated workplace and under the normal range of workplace conditions.</w:t>
            </w:r>
          </w:p>
          <w:p w:rsidR="00000000" w:rsidRPr="00B8291E" w:rsidP="00B8291E">
            <w:pPr>
              <w:pStyle w:val="BodyText"/>
            </w:pPr>
            <w:r w:rsidRPr="00B8291E">
              <w:t>Assessment of this unit will be supported with documentary evidence, by means of endorsement stating type and application of</w:t>
            </w:r>
            <w:r w:rsidRPr="00B8291E">
              <w:t xml:space="preserve"> work.</w:t>
            </w:r>
          </w:p>
          <w:p w:rsidR="00000000" w:rsidRPr="00B8291E" w:rsidP="00B8291E">
            <w:pPr>
              <w:pStyle w:val="BodyText"/>
            </w:pPr>
            <w:r w:rsidRPr="00B8291E">
              <w:t>In addition to the resources listed above in Context of assessment’, evidence should show competency working in limited spaces with different types of plant and equipment as well as different structural/construction types and methods and in a variet</w:t>
            </w:r>
            <w:r w:rsidRPr="00B8291E">
              <w:t>y of environments.</w:t>
            </w:r>
          </w:p>
        </w:tc>
      </w:tr>
    </w:tbl>
    <w:p w:rsidR="00000000" w:rsidRPr="00B8291E" w:rsidP="00B8291E">
      <w:pPr>
        <w:pStyle w:val="BodyText"/>
      </w:pPr>
    </w:p>
    <w:tbl>
      <w:tblPr>
        <w:tblW w:w="0" w:type="auto"/>
        <w:tblLayout w:type="fixed"/>
        <w:tblCellMar>
          <w:left w:w="62" w:type="dxa"/>
          <w:right w:w="62" w:type="dxa"/>
        </w:tblCellMar>
        <w:tblLook w:val="0000"/>
      </w:tblPr>
      <w:tblGrid>
        <w:gridCol w:w="1890"/>
        <w:gridCol w:w="6570"/>
      </w:tblGrid>
      <w:tr w:rsidTr="004410D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8291E" w:rsidP="00B8291E">
            <w:pPr>
              <w:pStyle w:val="BodyText"/>
            </w:pPr>
            <w:r w:rsidRPr="00B8291E">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B8291E">
            <w:pPr>
              <w:pStyle w:val="BodyText"/>
              <w:rPr>
                <w:lang w:val="en-NZ"/>
              </w:rPr>
            </w:pPr>
            <w:r w:rsidRPr="00B8291E">
              <w:rPr>
                <w:rStyle w:val="SpecialBold"/>
              </w:rPr>
              <w:t>9.4)</w:t>
            </w:r>
          </w:p>
        </w:tc>
      </w:tr>
      <w:tr w:rsidTr="004410D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8291E" w:rsidP="00B8291E">
            <w:pPr>
              <w:pStyle w:val="BodyText"/>
            </w:pPr>
            <w:r w:rsidRPr="00B8291E">
              <w:t>This unit shall be assessed by methods given in Section 1.3.00 Assessment Guidelines.</w:t>
            </w:r>
          </w:p>
          <w:p w:rsidR="00000000" w:rsidRPr="00B8291E" w:rsidP="00B8291E">
            <w:pPr>
              <w:pStyle w:val="BodyText"/>
            </w:pPr>
            <w:r w:rsidRPr="00B8291E">
              <w:t xml:space="preserve">Note: </w:t>
            </w:r>
          </w:p>
          <w:p w:rsidR="00000000" w:rsidRPr="00B8291E" w:rsidP="00B8291E">
            <w:pPr>
              <w:pStyle w:val="BodyText"/>
            </w:pPr>
            <w:r w:rsidRPr="00B8291E">
              <w:t>Competent performance with inherent safe working practices is expected in the Industry to which this unit applies. This requires that the specified essential knowledge and associated skills are assessed in a structured environment which is primarily intend</w:t>
            </w:r>
            <w:r w:rsidRPr="00B8291E">
              <w:t>ed for learning/assessment and incorporates all necessary equipment and facilities for learners to develop and demonstrate the essential knowledge and skills described in this unit.</w:t>
            </w:r>
          </w:p>
        </w:tc>
      </w:tr>
    </w:tbl>
    <w:p w:rsidR="00000000" w:rsidRPr="00B8291E" w:rsidP="00B8291E">
      <w:pPr>
        <w:pStyle w:val="BodyText"/>
      </w:pPr>
    </w:p>
    <w:tbl>
      <w:tblPr>
        <w:tblW w:w="0" w:type="auto"/>
        <w:tblLayout w:type="fixed"/>
        <w:tblCellMar>
          <w:left w:w="62" w:type="dxa"/>
          <w:right w:w="62" w:type="dxa"/>
        </w:tblCellMar>
        <w:tblLook w:val="0000"/>
      </w:tblPr>
      <w:tblGrid>
        <w:gridCol w:w="1890"/>
        <w:gridCol w:w="6570"/>
      </w:tblGrid>
      <w:tr w:rsidTr="004410D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8291E" w:rsidP="00B8291E">
            <w:pPr>
              <w:pStyle w:val="BodyText"/>
            </w:pPr>
            <w:r w:rsidRPr="00B8291E">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B8291E">
            <w:pPr>
              <w:pStyle w:val="BodyText"/>
              <w:rPr>
                <w:lang w:val="en-NZ"/>
              </w:rPr>
            </w:pPr>
            <w:r w:rsidRPr="00B8291E">
              <w:rPr>
                <w:rStyle w:val="SpecialBold"/>
              </w:rPr>
              <w:t>9.5)</w:t>
            </w:r>
          </w:p>
        </w:tc>
      </w:tr>
      <w:tr w:rsidTr="004410D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8291E" w:rsidP="00B8291E">
            <w:pPr>
              <w:pStyle w:val="BodyText"/>
            </w:pPr>
            <w:r w:rsidRPr="00B8291E">
              <w:t>There are</w:t>
            </w:r>
            <w:r w:rsidRPr="00B8291E">
              <w:t xml:space="preserve"> no recommended concurrent assessments with this unit, however in some cases efficiencies may be gained in terms of learning and assessment effort being concurrently managed with allied competency standard units where listed.</w:t>
            </w:r>
          </w:p>
          <w:p w:rsidR="00000000" w:rsidRPr="00B8291E" w:rsidP="00B8291E">
            <w:pPr>
              <w:pStyle w:val="BodyText"/>
            </w:pPr>
            <w:r w:rsidRPr="00B8291E">
              <w:t>Nil</w:t>
            </w:r>
            <w:r w:rsidRPr="00B8291E">
              <w:tab/>
            </w:r>
          </w:p>
        </w:tc>
      </w:tr>
    </w:tbl>
    <w:p w:rsidR="00000000" w:rsidRPr="00B8291E" w:rsidP="00B8291E">
      <w:pPr>
        <w:pStyle w:val="BodyText"/>
      </w:pPr>
    </w:p>
    <w:p w:rsidR="00000000" w:rsidRPr="00B8291E" w:rsidP="00B8291E">
      <w:pPr>
        <w:pStyle w:val="AllowPageBreak"/>
      </w:pPr>
    </w:p>
    <w:p w:rsidR="00000000" w:rsidRPr="00B8291E" w:rsidP="00B8291E">
      <w:pPr>
        <w:pStyle w:val="Heading1"/>
      </w:pPr>
      <w:bookmarkStart w:id="11" w:name="O_475795"/>
      <w:bookmarkEnd w:id="11"/>
      <w:r w:rsidRPr="00B8291E">
        <w:t xml:space="preserve">Range </w:t>
      </w:r>
      <w:r w:rsidRPr="00B8291E">
        <w:t>Statement</w:t>
      </w:r>
    </w:p>
    <w:tbl>
      <w:tblPr>
        <w:tblW w:w="0" w:type="auto"/>
        <w:tblLayout w:type="fixed"/>
        <w:tblCellMar>
          <w:left w:w="62" w:type="dxa"/>
          <w:right w:w="62" w:type="dxa"/>
        </w:tblCellMar>
        <w:tblLook w:val="0000"/>
      </w:tblPr>
      <w:tblGrid>
        <w:gridCol w:w="8460"/>
      </w:tblGrid>
      <w:tr w:rsidTr="004410D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8291E">
            <w:pPr>
              <w:pStyle w:val="BodyText"/>
              <w:rPr>
                <w:lang w:val="en-NZ"/>
              </w:rPr>
            </w:pPr>
            <w:r w:rsidRPr="00B8291E">
              <w:rPr>
                <w:rStyle w:val="SpecialBold"/>
              </w:rPr>
              <w:t>RANGE STATEMENT</w:t>
            </w:r>
          </w:p>
        </w:tc>
      </w:tr>
      <w:tr w:rsidTr="004410D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8291E" w:rsidP="00B8291E">
            <w:pPr>
              <w:pStyle w:val="BodyText"/>
            </w:pPr>
            <w:r w:rsidRPr="00B8291E">
              <w:rPr>
                <w:rStyle w:val="SpecialBold"/>
              </w:rPr>
              <w:t>10)</w:t>
            </w:r>
            <w:r w:rsidRPr="00B8291E">
              <w:t xml:space="preserve"> This relates to the competency standard unit as a whole, providing the range of contexts and </w:t>
            </w:r>
            <w:r w:rsidRPr="00B8291E">
              <w:t>conditions to which the Performance Criteria apply. It allows for different work environments and situations that will affect performance.</w:t>
            </w:r>
          </w:p>
          <w:p w:rsidR="00000000" w:rsidRPr="00B8291E" w:rsidP="00B8291E">
            <w:pPr>
              <w:pStyle w:val="BodyText"/>
            </w:pPr>
            <w:r w:rsidRPr="00B8291E">
              <w:t>Meteorological charts and data.</w:t>
            </w:r>
          </w:p>
          <w:p w:rsidR="00000000" w:rsidRPr="00B8291E" w:rsidP="00B8291E">
            <w:pPr>
              <w:pStyle w:val="BodyText"/>
            </w:pPr>
            <w:r w:rsidRPr="00B8291E">
              <w:t>Record Keeping Data Systems (Electronic and hard copy).</w:t>
            </w:r>
          </w:p>
          <w:p w:rsidR="00000000" w:rsidRPr="00B8291E" w:rsidP="00B8291E">
            <w:pPr>
              <w:pStyle w:val="BodyText"/>
            </w:pPr>
            <w:r w:rsidRPr="00B8291E">
              <w:t>Stream gauging equipment.</w:t>
            </w:r>
          </w:p>
          <w:p w:rsidR="00000000" w:rsidRPr="00B8291E" w:rsidP="00B8291E">
            <w:pPr>
              <w:pStyle w:val="BodyText"/>
            </w:pPr>
            <w:r w:rsidRPr="00B8291E">
              <w:t>Wat</w:t>
            </w:r>
            <w:r w:rsidRPr="00B8291E">
              <w:t>er and snow depth gauges.</w:t>
            </w:r>
          </w:p>
          <w:p w:rsidR="00000000" w:rsidRPr="00B8291E" w:rsidP="00B8291E">
            <w:pPr>
              <w:pStyle w:val="BodyText"/>
            </w:pPr>
            <w:r w:rsidRPr="00B8291E">
              <w:t>Water sampling analysing equipment.</w:t>
            </w:r>
          </w:p>
          <w:p w:rsidR="00000000" w:rsidRPr="00B8291E" w:rsidP="00B8291E">
            <w:pPr>
              <w:pStyle w:val="BodyText"/>
            </w:pPr>
            <w:r w:rsidRPr="00B8291E">
              <w:t>Meteorological and Hydrographical instrumentation: Wind speeds, Relative humidity, Temperature, Precipitation levels.</w:t>
            </w:r>
          </w:p>
          <w:p w:rsidR="00000000" w:rsidRPr="00B8291E" w:rsidP="00B8291E">
            <w:pPr>
              <w:pStyle w:val="BodyText"/>
            </w:pPr>
            <w:r w:rsidRPr="00B8291E">
              <w:t>Generic terms are used throughout this Training Package for vocational stand</w:t>
            </w:r>
            <w:r w:rsidRPr="00B8291E">
              <w:t>ard shall be regarded as part of the Range Statement in which competency is demonstrated. The definition of these and other terms are given in Section 2.1 Preliminary Information and Glossaries.</w:t>
            </w:r>
          </w:p>
        </w:tc>
      </w:tr>
    </w:tbl>
    <w:p w:rsidR="00000000" w:rsidRPr="00B8291E" w:rsidP="00B8291E">
      <w:pPr>
        <w:pStyle w:val="BodyText"/>
      </w:pPr>
    </w:p>
    <w:p w:rsidR="00000000" w:rsidRPr="00B8291E" w:rsidP="00B8291E">
      <w:pPr>
        <w:pStyle w:val="AllowPageBreak"/>
      </w:pPr>
    </w:p>
    <w:p w:rsidR="00000000" w:rsidRPr="00B8291E" w:rsidP="00B8291E">
      <w:pPr>
        <w:pStyle w:val="Heading1"/>
      </w:pPr>
      <w:bookmarkStart w:id="12" w:name="O_475798"/>
      <w:bookmarkEnd w:id="12"/>
      <w:r w:rsidRPr="00B8291E">
        <w:t>Unit Sector(s)</w:t>
      </w:r>
    </w:p>
    <w:p w:rsidR="00000000" w:rsidRPr="00B8291E" w:rsidP="00B8291E">
      <w:pPr>
        <w:pStyle w:val="BodyText"/>
      </w:pPr>
      <w:r w:rsidRPr="00B8291E">
        <w:t>Not applicable.</w:t>
      </w:r>
    </w:p>
    <w:p w:rsidR="00000000" w:rsidRPr="00B8291E" w:rsidP="00B8291E">
      <w:pPr>
        <w:pStyle w:val="AllowPageBreak"/>
      </w:pPr>
    </w:p>
    <w:p w:rsidR="00000000" w:rsidRPr="00B8291E" w:rsidP="00B8291E">
      <w:pPr>
        <w:pStyle w:val="Heading1"/>
      </w:pPr>
      <w:bookmarkStart w:id="13" w:name="O_475787"/>
      <w:bookmarkEnd w:id="13"/>
      <w:r w:rsidRPr="00B8291E">
        <w:t>Competency Field</w:t>
      </w:r>
    </w:p>
    <w:tbl>
      <w:tblPr>
        <w:tblW w:w="0" w:type="auto"/>
        <w:tblLayout w:type="fixed"/>
        <w:tblCellMar>
          <w:left w:w="62" w:type="dxa"/>
          <w:right w:w="62" w:type="dxa"/>
        </w:tblCellMar>
        <w:tblLook w:val="0000"/>
      </w:tblPr>
      <w:tblGrid>
        <w:gridCol w:w="2700"/>
        <w:gridCol w:w="5760"/>
      </w:tblGrid>
      <w:tr w:rsidTr="004410D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8291E" w:rsidP="00B8291E">
            <w:pPr>
              <w:pStyle w:val="BodyText"/>
            </w:pPr>
            <w:r w:rsidRPr="00B8291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8291E">
            <w:pPr>
              <w:pStyle w:val="BodyText"/>
              <w:rPr>
                <w:lang w:val="en-NZ"/>
              </w:rPr>
            </w:pPr>
            <w:r w:rsidRPr="00B8291E">
              <w:rPr>
                <w:rStyle w:val="SpecialBold"/>
              </w:rPr>
              <w:t xml:space="preserve">11) </w:t>
            </w:r>
          </w:p>
        </w:tc>
      </w:tr>
      <w:tr w:rsidTr="004410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8291E" w:rsidP="00B8291E">
            <w:pPr>
              <w:pStyle w:val="BodyText"/>
            </w:pPr>
            <w:r w:rsidRPr="00B8291E">
              <w:t>Operations</w:t>
            </w:r>
          </w:p>
        </w:tc>
      </w:tr>
    </w:tbl>
    <w:p w:rsidR="00000000" w:rsidRPr="00B8291E" w:rsidP="00B8291E">
      <w:pPr>
        <w:pStyle w:val="BodyText"/>
      </w:pPr>
    </w:p>
    <w:p w:rsidR="00000000" w:rsidRPr="00B8291E" w:rsidP="00B8291E"/>
    <w:sectPr w:rsidSect="00B829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9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10DB" w:rsidP="004410D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9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0DB" w:rsidP="00B8291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410DB" w:rsidP="00B8291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410DB" w:rsidP="00B8291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9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91E" w:rsidRPr="004410DB" w:rsidP="004410D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9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0DB" w:rsidRPr="002D2AF8" w:rsidP="00B8291E">
    <w:pPr>
      <w:pStyle w:val="Header"/>
      <w:framePr w:wrap="around"/>
    </w:pPr>
    <w:r>
      <w:fldChar w:fldCharType="begin"/>
    </w:r>
    <w:r>
      <w:instrText xml:space="preserve"> TITLE   \* MERGEFORMAT </w:instrText>
    </w:r>
    <w:r>
      <w:fldChar w:fldCharType="separate"/>
    </w:r>
    <w:r>
      <w:t>UEPOPS431B Collect and analyse hydrological and meteorological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4410DB" w:rsidP="00B829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3C27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4632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020E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29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291E"/>
    <w:pPr>
      <w:spacing w:before="360" w:after="60"/>
      <w:outlineLvl w:val="0"/>
    </w:pPr>
    <w:rPr>
      <w:sz w:val="32"/>
    </w:rPr>
  </w:style>
  <w:style w:type="paragraph" w:styleId="Heading2">
    <w:name w:val="heading 2"/>
    <w:basedOn w:val="HeadingBase"/>
    <w:next w:val="BodyText"/>
    <w:link w:val="Heading2Char"/>
    <w:qFormat/>
    <w:rsid w:val="00B8291E"/>
    <w:pPr>
      <w:keepLines/>
      <w:spacing w:before="240" w:after="120"/>
      <w:outlineLvl w:val="1"/>
    </w:pPr>
    <w:rPr>
      <w:sz w:val="28"/>
      <w:szCs w:val="40"/>
    </w:rPr>
  </w:style>
  <w:style w:type="paragraph" w:styleId="Heading3">
    <w:name w:val="heading 3"/>
    <w:basedOn w:val="HeadingBase"/>
    <w:next w:val="BodyText"/>
    <w:link w:val="Heading3Char"/>
    <w:qFormat/>
    <w:rsid w:val="00B8291E"/>
    <w:pPr>
      <w:spacing w:before="180" w:after="120"/>
      <w:outlineLvl w:val="2"/>
    </w:pPr>
    <w:rPr>
      <w:spacing w:val="-10"/>
      <w:kern w:val="32"/>
    </w:rPr>
  </w:style>
  <w:style w:type="paragraph" w:styleId="Heading4">
    <w:name w:val="heading 4"/>
    <w:basedOn w:val="HeadingBase"/>
    <w:next w:val="BodyText"/>
    <w:link w:val="Heading4Char"/>
    <w:qFormat/>
    <w:rsid w:val="00B8291E"/>
    <w:pPr>
      <w:spacing w:before="160" w:after="120"/>
      <w:outlineLvl w:val="3"/>
    </w:pPr>
    <w:rPr>
      <w:sz w:val="22"/>
    </w:rPr>
  </w:style>
  <w:style w:type="paragraph" w:styleId="Heading5">
    <w:name w:val="heading 5"/>
    <w:basedOn w:val="HeadingBase"/>
    <w:next w:val="Normal"/>
    <w:link w:val="Heading5Char"/>
    <w:qFormat/>
    <w:rsid w:val="00B8291E"/>
    <w:pPr>
      <w:spacing w:before="80"/>
      <w:outlineLvl w:val="4"/>
    </w:pPr>
    <w:rPr>
      <w:color w:val="918585"/>
      <w:sz w:val="20"/>
    </w:rPr>
  </w:style>
  <w:style w:type="paragraph" w:styleId="Heading6">
    <w:name w:val="heading 6"/>
    <w:basedOn w:val="HeadingBase"/>
    <w:next w:val="Normal"/>
    <w:link w:val="Heading6Char"/>
    <w:qFormat/>
    <w:rsid w:val="00B8291E"/>
    <w:pPr>
      <w:spacing w:before="60"/>
      <w:outlineLvl w:val="5"/>
    </w:pPr>
    <w:rPr>
      <w:color w:val="918585"/>
      <w:sz w:val="20"/>
    </w:rPr>
  </w:style>
  <w:style w:type="paragraph" w:styleId="Heading7">
    <w:name w:val="heading 7"/>
    <w:basedOn w:val="Normal"/>
    <w:next w:val="Normal"/>
    <w:link w:val="Heading7Char"/>
    <w:qFormat/>
    <w:rsid w:val="00B8291E"/>
    <w:pPr>
      <w:ind w:left="720"/>
      <w:outlineLvl w:val="6"/>
    </w:pPr>
    <w:rPr>
      <w:i/>
    </w:rPr>
  </w:style>
  <w:style w:type="paragraph" w:styleId="Heading8">
    <w:name w:val="heading 8"/>
    <w:basedOn w:val="Normal"/>
    <w:next w:val="Normal"/>
    <w:link w:val="Heading8Char"/>
    <w:qFormat/>
    <w:rsid w:val="00B8291E"/>
    <w:pPr>
      <w:ind w:left="720"/>
      <w:outlineLvl w:val="7"/>
    </w:pPr>
    <w:rPr>
      <w:i/>
    </w:rPr>
  </w:style>
  <w:style w:type="paragraph" w:styleId="Heading9">
    <w:name w:val="heading 9"/>
    <w:basedOn w:val="Normal"/>
    <w:next w:val="Normal"/>
    <w:link w:val="Heading9Char"/>
    <w:qFormat/>
    <w:rsid w:val="00B8291E"/>
    <w:pPr>
      <w:ind w:left="720"/>
      <w:outlineLvl w:val="8"/>
    </w:pPr>
    <w:rPr>
      <w:i/>
    </w:rPr>
  </w:style>
  <w:style w:type="character" w:default="1" w:styleId="DefaultParagraphFont">
    <w:name w:val="Default Paragraph Font"/>
    <w:uiPriority w:val="1"/>
    <w:unhideWhenUsed/>
    <w:rsid w:val="00B829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291E"/>
  </w:style>
  <w:style w:type="character" w:customStyle="1" w:styleId="Heading1Char">
    <w:name w:val="Heading 1 Char"/>
    <w:basedOn w:val="DefaultParagraphFont"/>
    <w:link w:val="Heading1"/>
    <w:rsid w:val="00B8291E"/>
    <w:rPr>
      <w:rFonts w:ascii="Times New Roman" w:eastAsia="Times New Roman" w:hAnsi="Times New Roman" w:cs="Times New Roman"/>
      <w:b/>
      <w:sz w:val="32"/>
      <w:szCs w:val="20"/>
      <w:lang w:eastAsia="en-US"/>
    </w:rPr>
  </w:style>
  <w:style w:type="paragraph" w:styleId="BodyText">
    <w:name w:val="Body Text"/>
    <w:basedOn w:val="Normal"/>
    <w:link w:val="BodyTextChar"/>
    <w:rsid w:val="00B8291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291E"/>
    <w:rPr>
      <w:rFonts w:ascii="Times New Roman" w:eastAsia="Times New Roman" w:hAnsi="Times New Roman" w:cs="Times New Roman"/>
      <w:sz w:val="24"/>
      <w:lang w:eastAsia="en-US"/>
    </w:rPr>
  </w:style>
  <w:style w:type="paragraph" w:styleId="Footer">
    <w:name w:val="footer"/>
    <w:basedOn w:val="Normal"/>
    <w:link w:val="FooterChar"/>
    <w:rsid w:val="00B829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291E"/>
    <w:rPr>
      <w:rFonts w:ascii="Times New Roman" w:eastAsia="Times New Roman" w:hAnsi="Times New Roman" w:cs="Times New Roman"/>
      <w:sz w:val="16"/>
      <w:lang w:eastAsia="en-US"/>
    </w:rPr>
  </w:style>
  <w:style w:type="paragraph" w:styleId="ListBullet">
    <w:name w:val="List Bullet"/>
    <w:basedOn w:val="List"/>
    <w:rsid w:val="00B8291E"/>
    <w:pPr>
      <w:numPr>
        <w:numId w:val="13"/>
      </w:numPr>
      <w:tabs>
        <w:tab w:val="clear" w:pos="340"/>
      </w:tabs>
      <w:spacing w:before="40" w:after="40"/>
    </w:pPr>
  </w:style>
  <w:style w:type="character" w:customStyle="1" w:styleId="SpecialBold">
    <w:name w:val="Special Bold"/>
    <w:basedOn w:val="DefaultParagraphFont"/>
    <w:rsid w:val="00B8291E"/>
    <w:rPr>
      <w:b/>
      <w:spacing w:val="0"/>
    </w:rPr>
  </w:style>
  <w:style w:type="paragraph" w:styleId="ListBullet2">
    <w:name w:val="List Bullet 2"/>
    <w:basedOn w:val="List2"/>
    <w:rsid w:val="00B8291E"/>
    <w:pPr>
      <w:numPr>
        <w:numId w:val="14"/>
      </w:numPr>
      <w:tabs>
        <w:tab w:val="clear" w:pos="680"/>
      </w:tabs>
    </w:pPr>
  </w:style>
  <w:style w:type="paragraph" w:customStyle="1" w:styleId="SuperHeading">
    <w:name w:val="SuperHeading"/>
    <w:basedOn w:val="Normal"/>
    <w:rsid w:val="00B8291E"/>
    <w:pPr>
      <w:spacing w:before="240" w:after="120"/>
      <w:outlineLvl w:val="0"/>
    </w:pPr>
    <w:rPr>
      <w:rFonts w:ascii="Times New Roman" w:hAnsi="Times New Roman"/>
      <w:b/>
      <w:sz w:val="28"/>
    </w:rPr>
  </w:style>
  <w:style w:type="paragraph" w:customStyle="1" w:styleId="AllowPageBreak">
    <w:name w:val="AllowPageBreak"/>
    <w:rsid w:val="00B829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29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29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29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29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29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29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29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291E"/>
    <w:rPr>
      <w:rFonts w:ascii="Courier New" w:eastAsia="Times New Roman" w:hAnsi="Courier New" w:cs="Times New Roman"/>
      <w:i/>
      <w:szCs w:val="20"/>
      <w:lang w:eastAsia="en-US"/>
    </w:rPr>
  </w:style>
  <w:style w:type="paragraph" w:customStyle="1" w:styleId="HeadingBase">
    <w:name w:val="Heading Base"/>
    <w:rsid w:val="00B829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291E"/>
    <w:pPr>
      <w:tabs>
        <w:tab w:val="right" w:leader="dot" w:pos="9072"/>
      </w:tabs>
      <w:ind w:left="567"/>
    </w:pPr>
    <w:rPr>
      <w:szCs w:val="22"/>
    </w:rPr>
  </w:style>
  <w:style w:type="paragraph" w:customStyle="1" w:styleId="TOCBase">
    <w:name w:val="TOC Base"/>
    <w:rsid w:val="00B829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291E"/>
    <w:pPr>
      <w:tabs>
        <w:tab w:val="right" w:leader="dot" w:pos="9072"/>
      </w:tabs>
      <w:spacing w:before="40" w:after="40"/>
      <w:ind w:left="284"/>
    </w:pPr>
    <w:rPr>
      <w:rFonts w:ascii="Times New Roman" w:hAnsi="Times New Roman"/>
    </w:rPr>
  </w:style>
  <w:style w:type="paragraph" w:styleId="TOC1">
    <w:name w:val="toc 1"/>
    <w:basedOn w:val="TOCBase"/>
    <w:next w:val="Normal"/>
    <w:rsid w:val="00B8291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291E"/>
    <w:pPr>
      <w:spacing w:before="5040"/>
      <w:jc w:val="center"/>
    </w:pPr>
    <w:rPr>
      <w:sz w:val="48"/>
      <w:szCs w:val="72"/>
      <w:lang w:val="en-US"/>
    </w:rPr>
  </w:style>
  <w:style w:type="character" w:customStyle="1" w:styleId="TitleChar">
    <w:name w:val="Title Char"/>
    <w:basedOn w:val="DefaultParagraphFont"/>
    <w:link w:val="Title"/>
    <w:rsid w:val="00B829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291E"/>
    <w:pPr>
      <w:tabs>
        <w:tab w:val="left" w:pos="3600"/>
        <w:tab w:val="left" w:pos="3958"/>
      </w:tabs>
    </w:pPr>
  </w:style>
  <w:style w:type="paragraph" w:styleId="List">
    <w:name w:val="List"/>
    <w:basedOn w:val="BodyText"/>
    <w:next w:val="BodyText"/>
    <w:rsid w:val="00B8291E"/>
    <w:pPr>
      <w:tabs>
        <w:tab w:val="left" w:pos="340"/>
      </w:tabs>
      <w:spacing w:before="60" w:after="60"/>
      <w:ind w:left="340" w:hanging="340"/>
    </w:pPr>
  </w:style>
  <w:style w:type="paragraph" w:customStyle="1" w:styleId="Note">
    <w:name w:val="Note"/>
    <w:basedOn w:val="BodyText"/>
    <w:rsid w:val="00B829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291E"/>
    <w:pPr>
      <w:framePr w:wrap="auto" w:hAnchor="text" w:y="6049"/>
    </w:pPr>
    <w:rPr>
      <w:color w:val="000000"/>
      <w:sz w:val="40"/>
    </w:rPr>
  </w:style>
  <w:style w:type="paragraph" w:customStyle="1" w:styleId="TOCTitle">
    <w:name w:val="TOCTitle"/>
    <w:basedOn w:val="Heading1"/>
    <w:rsid w:val="00B8291E"/>
    <w:pPr>
      <w:spacing w:after="240"/>
      <w:jc w:val="center"/>
      <w:outlineLvl w:val="9"/>
    </w:pPr>
    <w:rPr>
      <w:caps/>
    </w:rPr>
  </w:style>
  <w:style w:type="paragraph" w:customStyle="1" w:styleId="Version">
    <w:name w:val="Version"/>
    <w:rsid w:val="00B829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291E"/>
    <w:pPr>
      <w:keepNext w:val="0"/>
      <w:tabs>
        <w:tab w:val="right" w:pos="4176"/>
      </w:tabs>
      <w:ind w:left="198" w:hanging="198"/>
    </w:pPr>
    <w:rPr>
      <w:rFonts w:ascii="Garamond" w:hAnsi="Garamond"/>
    </w:rPr>
  </w:style>
  <w:style w:type="paragraph" w:styleId="IndexHeading">
    <w:name w:val="index heading"/>
    <w:basedOn w:val="Normal"/>
    <w:next w:val="Index1"/>
    <w:semiHidden/>
    <w:rsid w:val="00B8291E"/>
    <w:pPr>
      <w:spacing w:before="120" w:after="120"/>
    </w:pPr>
    <w:rPr>
      <w:rFonts w:ascii="Arial" w:hAnsi="Arial"/>
      <w:b/>
      <w:color w:val="918585"/>
      <w:sz w:val="24"/>
    </w:rPr>
  </w:style>
  <w:style w:type="paragraph" w:styleId="Header">
    <w:name w:val="header"/>
    <w:basedOn w:val="Normal"/>
    <w:link w:val="HeaderChar"/>
    <w:rsid w:val="00B829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291E"/>
    <w:rPr>
      <w:rFonts w:ascii="Times New Roman" w:eastAsia="Times New Roman" w:hAnsi="Times New Roman" w:cs="Times New Roman"/>
      <w:sz w:val="16"/>
      <w:szCs w:val="20"/>
      <w:lang w:val="en-GB" w:eastAsia="en-US"/>
    </w:rPr>
  </w:style>
  <w:style w:type="paragraph" w:customStyle="1" w:styleId="Chapter">
    <w:name w:val="Chapter"/>
    <w:basedOn w:val="Normal"/>
    <w:rsid w:val="00B8291E"/>
    <w:pPr>
      <w:spacing w:before="240"/>
    </w:pPr>
    <w:rPr>
      <w:rFonts w:ascii="Times New Roman" w:hAnsi="Times New Roman"/>
      <w:smallCaps/>
      <w:spacing w:val="80"/>
      <w:sz w:val="28"/>
    </w:rPr>
  </w:style>
  <w:style w:type="paragraph" w:customStyle="1" w:styleId="InChapter">
    <w:name w:val="InChapter"/>
    <w:basedOn w:val="Heading3"/>
    <w:rsid w:val="00B8291E"/>
    <w:pPr>
      <w:spacing w:after="240"/>
      <w:outlineLvl w:val="9"/>
    </w:pPr>
    <w:rPr>
      <w:noProof/>
    </w:rPr>
  </w:style>
  <w:style w:type="paragraph" w:styleId="Index2">
    <w:name w:val="index 2"/>
    <w:basedOn w:val="Normal"/>
    <w:next w:val="Normal"/>
    <w:semiHidden/>
    <w:rsid w:val="00B8291E"/>
    <w:pPr>
      <w:tabs>
        <w:tab w:val="right" w:pos="4176"/>
      </w:tabs>
      <w:ind w:left="568" w:hanging="284"/>
    </w:pPr>
    <w:rPr>
      <w:rFonts w:ascii="Garamond" w:hAnsi="Garamond"/>
    </w:rPr>
  </w:style>
  <w:style w:type="paragraph" w:customStyle="1" w:styleId="Byline">
    <w:name w:val="Byline"/>
    <w:rsid w:val="00B829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291E"/>
    <w:pPr>
      <w:tabs>
        <w:tab w:val="clear" w:pos="3600"/>
        <w:tab w:val="clear" w:pos="3958"/>
      </w:tabs>
      <w:jc w:val="right"/>
    </w:pPr>
  </w:style>
  <w:style w:type="character" w:styleId="Emphasis">
    <w:name w:val="Emphasis"/>
    <w:basedOn w:val="DefaultParagraphFont"/>
    <w:qFormat/>
    <w:rsid w:val="00B8291E"/>
    <w:rPr>
      <w:i/>
    </w:rPr>
  </w:style>
  <w:style w:type="paragraph" w:styleId="Caption">
    <w:name w:val="caption"/>
    <w:basedOn w:val="BodyText"/>
    <w:next w:val="Normal"/>
    <w:qFormat/>
    <w:rsid w:val="00B8291E"/>
    <w:pPr>
      <w:framePr w:w="2268" w:hSpace="181" w:vSpace="181" w:wrap="around" w:vAnchor="text" w:hAnchor="page" w:x="1135" w:y="285" w:anchorLock="1"/>
    </w:pPr>
    <w:rPr>
      <w:i/>
    </w:rPr>
  </w:style>
  <w:style w:type="paragraph" w:customStyle="1" w:styleId="MiniTOCTitle">
    <w:name w:val="MiniTOCTitle"/>
    <w:basedOn w:val="Heading4"/>
    <w:rsid w:val="00B8291E"/>
    <w:pPr>
      <w:spacing w:before="240"/>
      <w:outlineLvl w:val="9"/>
    </w:pPr>
    <w:rPr>
      <w:noProof/>
      <w:sz w:val="24"/>
    </w:rPr>
  </w:style>
  <w:style w:type="paragraph" w:customStyle="1" w:styleId="MiniTOCItem">
    <w:name w:val="MiniTOCItem"/>
    <w:basedOn w:val="ListBullet"/>
    <w:rsid w:val="00B8291E"/>
    <w:pPr>
      <w:numPr>
        <w:numId w:val="0"/>
      </w:numPr>
      <w:tabs>
        <w:tab w:val="right" w:leader="dot" w:pos="6521"/>
      </w:tabs>
      <w:spacing w:before="0" w:after="0"/>
    </w:pPr>
  </w:style>
  <w:style w:type="paragraph" w:customStyle="1" w:styleId="TOFTitle">
    <w:name w:val="TOFTitle"/>
    <w:basedOn w:val="TOCTitle"/>
    <w:rsid w:val="00B8291E"/>
  </w:style>
  <w:style w:type="paragraph" w:styleId="TableofFigures">
    <w:name w:val="table of figures"/>
    <w:basedOn w:val="Normal"/>
    <w:next w:val="Normal"/>
    <w:semiHidden/>
    <w:rsid w:val="00B8291E"/>
    <w:pPr>
      <w:tabs>
        <w:tab w:val="right" w:leader="dot" w:pos="9072"/>
      </w:tabs>
      <w:ind w:left="970" w:hanging="403"/>
    </w:pPr>
    <w:rPr>
      <w:rFonts w:ascii="Times New Roman" w:hAnsi="Times New Roman"/>
      <w:b/>
    </w:rPr>
  </w:style>
  <w:style w:type="paragraph" w:styleId="ListNumber">
    <w:name w:val="List Number"/>
    <w:basedOn w:val="List"/>
    <w:rsid w:val="00B8291E"/>
    <w:pPr>
      <w:numPr>
        <w:numId w:val="11"/>
      </w:numPr>
    </w:pPr>
  </w:style>
  <w:style w:type="character" w:customStyle="1" w:styleId="WingdingSymbols">
    <w:name w:val="Wingding Symbols"/>
    <w:rsid w:val="00B8291E"/>
    <w:rPr>
      <w:rFonts w:ascii="Wingdings" w:hAnsi="Wingdings"/>
    </w:rPr>
  </w:style>
  <w:style w:type="paragraph" w:customStyle="1" w:styleId="TableHeading">
    <w:name w:val="Table Heading"/>
    <w:basedOn w:val="HeadingBase"/>
    <w:rsid w:val="00B8291E"/>
    <w:pPr>
      <w:keepLines/>
      <w:pBdr>
        <w:bottom w:val="single" w:sz="6" w:space="1" w:color="918585"/>
      </w:pBdr>
      <w:spacing w:before="240"/>
    </w:pPr>
  </w:style>
  <w:style w:type="character" w:customStyle="1" w:styleId="HotSpot">
    <w:name w:val="HotSpot"/>
    <w:rsid w:val="00B8291E"/>
    <w:rPr>
      <w:color w:val="0033CC"/>
      <w:u w:val="none"/>
    </w:rPr>
  </w:style>
  <w:style w:type="paragraph" w:customStyle="1" w:styleId="BodyTextRight">
    <w:name w:val="Body Text Right"/>
    <w:basedOn w:val="BodyText"/>
    <w:rsid w:val="00B8291E"/>
    <w:pPr>
      <w:spacing w:before="0" w:after="0"/>
      <w:jc w:val="right"/>
    </w:pPr>
  </w:style>
  <w:style w:type="paragraph" w:styleId="Index3">
    <w:name w:val="index 3"/>
    <w:basedOn w:val="ListNumber2"/>
    <w:next w:val="Normal"/>
    <w:semiHidden/>
    <w:rsid w:val="00B8291E"/>
    <w:pPr>
      <w:numPr>
        <w:numId w:val="0"/>
      </w:numPr>
      <w:tabs>
        <w:tab w:val="right" w:leader="dot" w:pos="4176"/>
      </w:tabs>
    </w:pPr>
  </w:style>
  <w:style w:type="paragraph" w:styleId="ListNumber2">
    <w:name w:val="List Number 2"/>
    <w:basedOn w:val="List2"/>
    <w:rsid w:val="00B8291E"/>
    <w:pPr>
      <w:numPr>
        <w:numId w:val="10"/>
      </w:numPr>
      <w:tabs>
        <w:tab w:val="clear" w:pos="1060"/>
      </w:tabs>
    </w:pPr>
  </w:style>
  <w:style w:type="paragraph" w:customStyle="1" w:styleId="MarginNote">
    <w:name w:val="Margin Note"/>
    <w:basedOn w:val="BodyText"/>
    <w:rsid w:val="00B829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29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29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291E"/>
    <w:rPr>
      <w:sz w:val="32"/>
    </w:rPr>
  </w:style>
  <w:style w:type="paragraph" w:customStyle="1" w:styleId="HeadingProcedure">
    <w:name w:val="Heading Procedure"/>
    <w:basedOn w:val="HeadingBase"/>
    <w:next w:val="Normal"/>
    <w:rsid w:val="00B8291E"/>
    <w:pPr>
      <w:tabs>
        <w:tab w:val="left" w:pos="0"/>
      </w:tabs>
      <w:spacing w:before="120" w:after="60"/>
    </w:pPr>
    <w:rPr>
      <w:i/>
      <w:color w:val="918585"/>
      <w:sz w:val="22"/>
    </w:rPr>
  </w:style>
  <w:style w:type="paragraph" w:customStyle="1" w:styleId="TableBodyText">
    <w:name w:val="Table Body Text"/>
    <w:basedOn w:val="BodyText"/>
    <w:rsid w:val="00B8291E"/>
    <w:pPr>
      <w:spacing w:before="60" w:after="60"/>
    </w:pPr>
  </w:style>
  <w:style w:type="paragraph" w:styleId="ListContinue">
    <w:name w:val="List Continue"/>
    <w:basedOn w:val="List"/>
    <w:rsid w:val="00B8291E"/>
    <w:pPr>
      <w:ind w:firstLine="0"/>
    </w:pPr>
  </w:style>
  <w:style w:type="paragraph" w:customStyle="1" w:styleId="ListNote">
    <w:name w:val="List Note"/>
    <w:basedOn w:val="List"/>
    <w:rsid w:val="00B8291E"/>
    <w:pPr>
      <w:pBdr>
        <w:top w:val="single" w:sz="6" w:space="2" w:color="918585"/>
        <w:bottom w:val="single" w:sz="6" w:space="2" w:color="918585"/>
      </w:pBdr>
      <w:tabs>
        <w:tab w:val="left" w:pos="1021"/>
      </w:tabs>
      <w:ind w:firstLine="0"/>
    </w:pPr>
  </w:style>
  <w:style w:type="paragraph" w:customStyle="1" w:styleId="Warning">
    <w:name w:val="Warning"/>
    <w:basedOn w:val="BodyText"/>
    <w:rsid w:val="00B8291E"/>
    <w:pPr>
      <w:shd w:val="clear" w:color="auto" w:fill="D9D9D9"/>
      <w:tabs>
        <w:tab w:val="left" w:pos="992"/>
      </w:tabs>
      <w:ind w:left="119" w:right="119"/>
    </w:pPr>
    <w:rPr>
      <w:sz w:val="20"/>
    </w:rPr>
  </w:style>
  <w:style w:type="paragraph" w:customStyle="1" w:styleId="MarginIcons">
    <w:name w:val="Margin Icons"/>
    <w:basedOn w:val="BodyText"/>
    <w:rsid w:val="00B829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291E"/>
    <w:rPr>
      <w:rFonts w:ascii="Courier New" w:hAnsi="Courier New"/>
    </w:rPr>
  </w:style>
  <w:style w:type="paragraph" w:customStyle="1" w:styleId="NoteBullet">
    <w:name w:val="Note Bullet"/>
    <w:basedOn w:val="Note"/>
    <w:rsid w:val="00B8291E"/>
    <w:pPr>
      <w:tabs>
        <w:tab w:val="clear" w:pos="680"/>
      </w:tabs>
      <w:spacing w:before="60" w:after="60"/>
    </w:pPr>
  </w:style>
  <w:style w:type="paragraph" w:customStyle="1" w:styleId="SubHeading2">
    <w:name w:val="SubHeading2"/>
    <w:basedOn w:val="HeadingBase"/>
    <w:rsid w:val="00B8291E"/>
    <w:pPr>
      <w:spacing w:before="240" w:after="60"/>
    </w:pPr>
    <w:rPr>
      <w:sz w:val="20"/>
    </w:rPr>
  </w:style>
  <w:style w:type="paragraph" w:customStyle="1" w:styleId="SubHeading1">
    <w:name w:val="SubHeading1"/>
    <w:basedOn w:val="HeadingBase"/>
    <w:rsid w:val="00B8291E"/>
    <w:pPr>
      <w:spacing w:before="240" w:after="60"/>
    </w:pPr>
    <w:rPr>
      <w:color w:val="918585"/>
      <w:sz w:val="22"/>
    </w:rPr>
  </w:style>
  <w:style w:type="paragraph" w:customStyle="1" w:styleId="SideHeading">
    <w:name w:val="Side Heading"/>
    <w:basedOn w:val="HeadingBase"/>
    <w:rsid w:val="00B829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291E"/>
    <w:pPr>
      <w:numPr>
        <w:numId w:val="12"/>
      </w:numPr>
    </w:pPr>
  </w:style>
  <w:style w:type="paragraph" w:styleId="PlainText">
    <w:name w:val="Plain Text"/>
    <w:basedOn w:val="Normal"/>
    <w:link w:val="PlainTextChar"/>
    <w:rsid w:val="00B8291E"/>
    <w:rPr>
      <w:sz w:val="20"/>
    </w:rPr>
  </w:style>
  <w:style w:type="character" w:customStyle="1" w:styleId="PlainTextChar">
    <w:name w:val="Plain Text Char"/>
    <w:basedOn w:val="DefaultParagraphFont"/>
    <w:link w:val="PlainText"/>
    <w:rsid w:val="00B8291E"/>
    <w:rPr>
      <w:rFonts w:ascii="Courier New" w:eastAsia="Times New Roman" w:hAnsi="Courier New" w:cs="Times New Roman"/>
      <w:sz w:val="20"/>
      <w:szCs w:val="20"/>
      <w:lang w:eastAsia="en-US"/>
    </w:rPr>
  </w:style>
  <w:style w:type="character" w:customStyle="1" w:styleId="MenuOption">
    <w:name w:val="Menu Option"/>
    <w:basedOn w:val="DefaultParagraphFont"/>
    <w:rsid w:val="00B8291E"/>
    <w:rPr>
      <w:b/>
      <w:smallCaps/>
    </w:rPr>
  </w:style>
  <w:style w:type="paragraph" w:customStyle="1" w:styleId="TableListNumber">
    <w:name w:val="Table List Number"/>
    <w:basedOn w:val="ListNumber"/>
    <w:rsid w:val="00B8291E"/>
    <w:pPr>
      <w:numPr>
        <w:numId w:val="0"/>
      </w:numPr>
    </w:pPr>
  </w:style>
  <w:style w:type="paragraph" w:styleId="TOC4">
    <w:name w:val="toc 4"/>
    <w:basedOn w:val="TOCBase"/>
    <w:next w:val="Normal"/>
    <w:semiHidden/>
    <w:rsid w:val="00B8291E"/>
    <w:pPr>
      <w:tabs>
        <w:tab w:val="right" w:leader="dot" w:pos="9071"/>
      </w:tabs>
      <w:ind w:left="1701"/>
    </w:pPr>
  </w:style>
  <w:style w:type="paragraph" w:customStyle="1" w:styleId="ListAlpha">
    <w:name w:val="List Alpha"/>
    <w:basedOn w:val="List"/>
    <w:rsid w:val="00B8291E"/>
    <w:pPr>
      <w:numPr>
        <w:numId w:val="9"/>
      </w:numPr>
    </w:pPr>
  </w:style>
  <w:style w:type="paragraph" w:customStyle="1" w:styleId="ListAlpha2">
    <w:name w:val="List Alpha 2"/>
    <w:basedOn w:val="List2"/>
    <w:rsid w:val="00B8291E"/>
    <w:pPr>
      <w:numPr>
        <w:numId w:val="8"/>
      </w:numPr>
    </w:pPr>
  </w:style>
  <w:style w:type="paragraph" w:styleId="List2">
    <w:name w:val="List 2"/>
    <w:basedOn w:val="BodyText"/>
    <w:rsid w:val="00B8291E"/>
    <w:pPr>
      <w:tabs>
        <w:tab w:val="left" w:pos="680"/>
      </w:tabs>
      <w:spacing w:before="60" w:after="60"/>
      <w:ind w:left="680" w:hanging="340"/>
    </w:pPr>
  </w:style>
  <w:style w:type="paragraph" w:styleId="List3">
    <w:name w:val="List 3"/>
    <w:basedOn w:val="BodyText"/>
    <w:rsid w:val="00B8291E"/>
    <w:pPr>
      <w:tabs>
        <w:tab w:val="left" w:pos="1021"/>
      </w:tabs>
      <w:spacing w:before="60" w:after="60"/>
      <w:ind w:left="1020" w:hanging="340"/>
    </w:pPr>
  </w:style>
  <w:style w:type="paragraph" w:styleId="List4">
    <w:name w:val="List 4"/>
    <w:basedOn w:val="BodyText"/>
    <w:rsid w:val="00B8291E"/>
    <w:pPr>
      <w:tabs>
        <w:tab w:val="left" w:pos="1361"/>
      </w:tabs>
      <w:spacing w:before="60" w:after="60"/>
      <w:ind w:left="1361" w:hanging="340"/>
    </w:pPr>
  </w:style>
  <w:style w:type="paragraph" w:styleId="List5">
    <w:name w:val="List 5"/>
    <w:basedOn w:val="BodyText"/>
    <w:rsid w:val="00B8291E"/>
    <w:pPr>
      <w:tabs>
        <w:tab w:val="left" w:pos="1701"/>
      </w:tabs>
      <w:spacing w:before="60" w:after="60"/>
      <w:ind w:left="1701" w:hanging="340"/>
    </w:pPr>
  </w:style>
  <w:style w:type="paragraph" w:styleId="ListBullet3">
    <w:name w:val="List Bullet 3"/>
    <w:basedOn w:val="List3"/>
    <w:rsid w:val="00B8291E"/>
    <w:pPr>
      <w:numPr>
        <w:numId w:val="15"/>
      </w:numPr>
      <w:tabs>
        <w:tab w:val="clear" w:pos="1021"/>
      </w:tabs>
      <w:ind w:left="1037" w:hanging="357"/>
    </w:pPr>
  </w:style>
  <w:style w:type="paragraph" w:styleId="ListBullet4">
    <w:name w:val="List Bullet 4"/>
    <w:basedOn w:val="List4"/>
    <w:rsid w:val="00B8291E"/>
    <w:pPr>
      <w:numPr>
        <w:numId w:val="3"/>
      </w:numPr>
    </w:pPr>
  </w:style>
  <w:style w:type="paragraph" w:styleId="ListBullet5">
    <w:name w:val="List Bullet 5"/>
    <w:basedOn w:val="List5"/>
    <w:rsid w:val="00B8291E"/>
    <w:pPr>
      <w:numPr>
        <w:numId w:val="4"/>
      </w:numPr>
    </w:pPr>
  </w:style>
  <w:style w:type="paragraph" w:styleId="ListContinue2">
    <w:name w:val="List Continue 2"/>
    <w:basedOn w:val="List2"/>
    <w:rsid w:val="00B8291E"/>
    <w:pPr>
      <w:ind w:firstLine="0"/>
    </w:pPr>
  </w:style>
  <w:style w:type="paragraph" w:styleId="ListContinue3">
    <w:name w:val="List Continue 3"/>
    <w:basedOn w:val="List3"/>
    <w:rsid w:val="00B8291E"/>
    <w:pPr>
      <w:ind w:left="1021" w:firstLine="0"/>
    </w:pPr>
  </w:style>
  <w:style w:type="paragraph" w:styleId="ListContinue4">
    <w:name w:val="List Continue 4"/>
    <w:basedOn w:val="List4"/>
    <w:rsid w:val="00B8291E"/>
    <w:pPr>
      <w:ind w:firstLine="0"/>
    </w:pPr>
  </w:style>
  <w:style w:type="paragraph" w:styleId="ListContinue5">
    <w:name w:val="List Continue 5"/>
    <w:basedOn w:val="List5"/>
    <w:rsid w:val="00B8291E"/>
    <w:pPr>
      <w:ind w:firstLine="0"/>
    </w:pPr>
  </w:style>
  <w:style w:type="paragraph" w:styleId="ListNumber3">
    <w:name w:val="List Number 3"/>
    <w:basedOn w:val="List3"/>
    <w:rsid w:val="00B8291E"/>
    <w:pPr>
      <w:numPr>
        <w:numId w:val="5"/>
      </w:numPr>
    </w:pPr>
  </w:style>
  <w:style w:type="paragraph" w:styleId="ListNumber4">
    <w:name w:val="List Number 4"/>
    <w:basedOn w:val="List4"/>
    <w:rsid w:val="00B8291E"/>
    <w:pPr>
      <w:numPr>
        <w:numId w:val="6"/>
      </w:numPr>
    </w:pPr>
  </w:style>
  <w:style w:type="paragraph" w:styleId="ListNumber5">
    <w:name w:val="List Number 5"/>
    <w:basedOn w:val="List5"/>
    <w:rsid w:val="00B8291E"/>
    <w:pPr>
      <w:numPr>
        <w:numId w:val="7"/>
      </w:numPr>
    </w:pPr>
  </w:style>
  <w:style w:type="paragraph" w:styleId="BlockText">
    <w:name w:val="Block Text"/>
    <w:basedOn w:val="Normal"/>
    <w:rsid w:val="00B8291E"/>
    <w:pPr>
      <w:spacing w:after="120"/>
      <w:ind w:left="1440" w:right="1440"/>
    </w:pPr>
  </w:style>
  <w:style w:type="character" w:customStyle="1" w:styleId="Subscript">
    <w:name w:val="Subscript"/>
    <w:basedOn w:val="DefaultParagraphFont"/>
    <w:rsid w:val="00B8291E"/>
    <w:rPr>
      <w:sz w:val="16"/>
      <w:vertAlign w:val="subscript"/>
    </w:rPr>
  </w:style>
  <w:style w:type="character" w:customStyle="1" w:styleId="Superscript">
    <w:name w:val="Superscript"/>
    <w:basedOn w:val="DefaultParagraphFont"/>
    <w:rsid w:val="00B8291E"/>
    <w:rPr>
      <w:sz w:val="16"/>
      <w:vertAlign w:val="superscript"/>
    </w:rPr>
  </w:style>
  <w:style w:type="character" w:customStyle="1" w:styleId="Symbols">
    <w:name w:val="Symbols"/>
    <w:basedOn w:val="DefaultParagraphFont"/>
    <w:rsid w:val="00B8291E"/>
    <w:rPr>
      <w:rFonts w:ascii="Symbol" w:hAnsi="Symbol"/>
    </w:rPr>
  </w:style>
  <w:style w:type="character" w:customStyle="1" w:styleId="MenuOptions">
    <w:name w:val="Menu Options"/>
    <w:basedOn w:val="DefaultParagraphFont"/>
    <w:rsid w:val="00B8291E"/>
    <w:rPr>
      <w:rFonts w:ascii="Arial Narrow" w:hAnsi="Arial Narrow"/>
      <w:smallCaps/>
    </w:rPr>
  </w:style>
  <w:style w:type="character" w:customStyle="1" w:styleId="Buttons">
    <w:name w:val="Buttons"/>
    <w:basedOn w:val="DefaultParagraphFont"/>
    <w:rsid w:val="00B8291E"/>
    <w:rPr>
      <w:b/>
    </w:rPr>
  </w:style>
  <w:style w:type="character" w:customStyle="1" w:styleId="Underlined">
    <w:name w:val="Underlined"/>
    <w:basedOn w:val="DefaultParagraphFont"/>
    <w:rsid w:val="00B8291E"/>
    <w:rPr>
      <w:u w:val="single"/>
    </w:rPr>
  </w:style>
  <w:style w:type="paragraph" w:customStyle="1" w:styleId="TableBodyTextRight">
    <w:name w:val="Table Body Text Right"/>
    <w:basedOn w:val="TableBodyText"/>
    <w:rsid w:val="00B8291E"/>
    <w:pPr>
      <w:widowControl w:val="0"/>
      <w:autoSpaceDE w:val="0"/>
      <w:autoSpaceDN w:val="0"/>
      <w:adjustRightInd w:val="0"/>
      <w:jc w:val="right"/>
    </w:pPr>
    <w:rPr>
      <w:rFonts w:cs="Arial"/>
      <w:szCs w:val="18"/>
    </w:rPr>
  </w:style>
  <w:style w:type="paragraph" w:customStyle="1" w:styleId="CopyrightText">
    <w:name w:val="Copyright Text"/>
    <w:basedOn w:val="BodyText"/>
    <w:rsid w:val="00B8291E"/>
    <w:rPr>
      <w:sz w:val="18"/>
    </w:rPr>
  </w:style>
  <w:style w:type="paragraph" w:customStyle="1" w:styleId="BodySmallRight">
    <w:name w:val="Body Small Right"/>
    <w:basedOn w:val="BodyTextRight"/>
    <w:rsid w:val="00B8291E"/>
    <w:rPr>
      <w:sz w:val="18"/>
      <w:szCs w:val="18"/>
    </w:rPr>
  </w:style>
  <w:style w:type="paragraph" w:customStyle="1" w:styleId="MarginEdition">
    <w:name w:val="Margin Edition"/>
    <w:basedOn w:val="MarginNote"/>
    <w:rsid w:val="00B8291E"/>
    <w:pPr>
      <w:spacing w:before="0" w:after="0"/>
    </w:pPr>
    <w:rPr>
      <w:rFonts w:ascii="Times New Roman" w:hAnsi="Times New Roman"/>
      <w:color w:val="999999"/>
    </w:rPr>
  </w:style>
  <w:style w:type="paragraph" w:customStyle="1" w:styleId="Spacer">
    <w:name w:val="Spacer"/>
    <w:basedOn w:val="Normal"/>
    <w:rsid w:val="00B8291E"/>
    <w:rPr>
      <w:sz w:val="2"/>
      <w:szCs w:val="2"/>
    </w:rPr>
  </w:style>
  <w:style w:type="character" w:customStyle="1" w:styleId="Small">
    <w:name w:val="Small"/>
    <w:basedOn w:val="DefaultParagraphFont"/>
    <w:rsid w:val="00B8291E"/>
    <w:rPr>
      <w:sz w:val="16"/>
    </w:rPr>
  </w:style>
  <w:style w:type="paragraph" w:customStyle="1" w:styleId="WideTable">
    <w:name w:val="Wide Table"/>
    <w:basedOn w:val="Normal"/>
    <w:rsid w:val="00B8291E"/>
    <w:pPr>
      <w:ind w:left="-1418"/>
    </w:pPr>
    <w:rPr>
      <w:sz w:val="2"/>
      <w:szCs w:val="2"/>
    </w:rPr>
  </w:style>
  <w:style w:type="character" w:styleId="PageNumber">
    <w:name w:val="page number"/>
    <w:basedOn w:val="DefaultParagraphFont"/>
    <w:rsid w:val="00B8291E"/>
  </w:style>
  <w:style w:type="paragraph" w:styleId="Quote">
    <w:name w:val="Quote"/>
    <w:basedOn w:val="Heading1"/>
    <w:link w:val="QuoteChar"/>
    <w:qFormat/>
    <w:rsid w:val="00B8291E"/>
    <w:rPr>
      <w:b w:val="0"/>
      <w:sz w:val="72"/>
      <w:szCs w:val="72"/>
      <w:lang w:val="en-NZ"/>
    </w:rPr>
  </w:style>
  <w:style w:type="character" w:customStyle="1" w:styleId="QuoteChar">
    <w:name w:val="Quote Char"/>
    <w:basedOn w:val="DefaultParagraphFont"/>
    <w:link w:val="Quote"/>
    <w:rsid w:val="00B829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291E"/>
    <w:pPr>
      <w:pageBreakBefore/>
    </w:pPr>
  </w:style>
  <w:style w:type="paragraph" w:customStyle="1" w:styleId="Border">
    <w:name w:val="Border"/>
    <w:basedOn w:val="Normal"/>
    <w:qFormat/>
    <w:rsid w:val="00B829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291E"/>
    <w:rPr>
      <w:b/>
      <w:bCs/>
      <w:i/>
      <w:iCs/>
      <w:color w:val="auto"/>
    </w:rPr>
  </w:style>
  <w:style w:type="paragraph" w:styleId="IntenseQuote">
    <w:name w:val="Intense Quote"/>
    <w:basedOn w:val="Normal"/>
    <w:next w:val="Normal"/>
    <w:link w:val="IntenseQuoteChar"/>
    <w:uiPriority w:val="30"/>
    <w:qFormat/>
    <w:rsid w:val="00B829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29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291E"/>
    <w:rPr>
      <w:smallCaps/>
      <w:color w:val="auto"/>
      <w:u w:val="single"/>
    </w:rPr>
  </w:style>
  <w:style w:type="character" w:styleId="IntenseReference">
    <w:name w:val="Intense Reference"/>
    <w:basedOn w:val="DefaultParagraphFont"/>
    <w:uiPriority w:val="32"/>
    <w:qFormat/>
    <w:rsid w:val="00B8291E"/>
    <w:rPr>
      <w:b/>
      <w:bCs/>
      <w:smallCaps/>
      <w:color w:val="auto"/>
      <w:spacing w:val="5"/>
      <w:u w:val="single"/>
    </w:rPr>
  </w:style>
  <w:style w:type="paragraph" w:customStyle="1" w:styleId="2ColumnHeading">
    <w:name w:val="2Column Heading"/>
    <w:basedOn w:val="BodyText"/>
    <w:qFormat/>
    <w:rsid w:val="00B8291E"/>
    <w:pPr>
      <w:spacing w:after="60"/>
      <w:ind w:left="-2268"/>
    </w:pPr>
    <w:rPr>
      <w:b/>
    </w:rPr>
  </w:style>
  <w:style w:type="paragraph" w:customStyle="1" w:styleId="Heading1TOC">
    <w:name w:val="Heading1 TOC"/>
    <w:basedOn w:val="Normal"/>
    <w:qFormat/>
    <w:rsid w:val="00B8291E"/>
    <w:pPr>
      <w:spacing w:before="240" w:after="120"/>
    </w:pPr>
    <w:rPr>
      <w:rFonts w:ascii="Times New Roman" w:hAnsi="Times New Roman"/>
      <w:b/>
      <w:sz w:val="32"/>
    </w:rPr>
  </w:style>
  <w:style w:type="paragraph" w:customStyle="1" w:styleId="Heading2TOC">
    <w:name w:val="Heading2 TOC"/>
    <w:basedOn w:val="Normal"/>
    <w:qFormat/>
    <w:rsid w:val="00B8291E"/>
    <w:pPr>
      <w:spacing w:before="240" w:after="60"/>
    </w:pPr>
    <w:rPr>
      <w:rFonts w:ascii="Times New Roman" w:hAnsi="Times New Roman"/>
      <w:b/>
      <w:sz w:val="28"/>
    </w:rPr>
  </w:style>
  <w:style w:type="character" w:customStyle="1" w:styleId="Underline">
    <w:name w:val="Underline"/>
    <w:basedOn w:val="DefaultParagraphFont"/>
    <w:qFormat/>
    <w:rsid w:val="00B8291E"/>
    <w:rPr>
      <w:u w:val="single"/>
    </w:rPr>
  </w:style>
  <w:style w:type="character" w:customStyle="1" w:styleId="BoldandItalics">
    <w:name w:val="Bold and Italics"/>
    <w:qFormat/>
    <w:rsid w:val="00B8291E"/>
    <w:rPr>
      <w:b/>
      <w:i/>
      <w:u w:val="none"/>
    </w:rPr>
  </w:style>
  <w:style w:type="paragraph" w:styleId="BalloonText">
    <w:name w:val="Balloon Text"/>
    <w:basedOn w:val="Normal"/>
    <w:link w:val="BalloonTextChar"/>
    <w:rsid w:val="00B8291E"/>
    <w:rPr>
      <w:rFonts w:ascii="Tahoma" w:hAnsi="Tahoma" w:cs="Tahoma"/>
      <w:sz w:val="16"/>
      <w:szCs w:val="16"/>
    </w:rPr>
  </w:style>
  <w:style w:type="character" w:customStyle="1" w:styleId="BalloonTextChar">
    <w:name w:val="Balloon Text Char"/>
    <w:basedOn w:val="DefaultParagraphFont"/>
    <w:link w:val="BalloonText"/>
    <w:rsid w:val="00B829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291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29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291E"/>
    <w:rPr>
      <w:b/>
      <w:color w:val="660033"/>
      <w:spacing w:val="0"/>
    </w:rPr>
  </w:style>
  <w:style w:type="paragraph" w:customStyle="1" w:styleId="Nameditemlist">
    <w:name w:val="Named item list"/>
    <w:basedOn w:val="BodyText"/>
    <w:qFormat/>
    <w:rsid w:val="00B8291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1765</Words>
  <Characters>10929</Characters>
  <Application>Microsoft Office Word</Application>
  <DocSecurity>0</DocSecurity>
  <Lines>410</Lines>
  <Paragraphs>190</Paragraphs>
  <ScaleCrop>false</ScaleCrop>
  <Company>Author-it Software Corporation Ltd.</Company>
  <LinksUpToDate>false</LinksUpToDate>
  <CharactersWithSpaces>12564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UEPOPS431B Collect and analyse hydrological and meteorological data</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2012-07-25T16:29:00Z</dcterms:created>
  <dcterms:modified xsi:type="dcterms:W3CDTF">2012-07-25T16:29:00Z</dcterms:modified>
</cp:coreProperties>
</file>